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BCF9" w14:textId="5A0C7EF9" w:rsidR="00136C16" w:rsidRDefault="00136C16" w:rsidP="00136C16">
      <w:pPr>
        <w:ind w:firstLine="720"/>
        <w:rPr>
          <w:lang w:val="sr-Cyrl-RS"/>
        </w:rPr>
      </w:pPr>
      <w:r>
        <w:rPr>
          <w:lang w:val="sr-Cyrl-RS"/>
        </w:rPr>
        <w:t>ОШ“Бранко Радичевић“Мелница</w:t>
      </w:r>
    </w:p>
    <w:p w14:paraId="2C6FF0D2" w14:textId="3DF2F1B7" w:rsidR="00136C16" w:rsidRDefault="00136C16" w:rsidP="00136C16">
      <w:pPr>
        <w:ind w:firstLine="720"/>
        <w:rPr>
          <w:lang w:val="sr-Cyrl-RS"/>
        </w:rPr>
      </w:pPr>
      <w:r>
        <w:rPr>
          <w:lang w:val="sr-Cyrl-RS"/>
        </w:rPr>
        <w:t>Комисија за ЈНМВ бр.1/2020</w:t>
      </w:r>
    </w:p>
    <w:p w14:paraId="2C2FCA8E" w14:textId="3FB48DB6" w:rsidR="00136C16" w:rsidRDefault="00136C16" w:rsidP="00136C16">
      <w:pPr>
        <w:ind w:firstLine="720"/>
        <w:rPr>
          <w:lang w:val="sr-Cyrl-RS"/>
        </w:rPr>
      </w:pPr>
      <w:r>
        <w:rPr>
          <w:lang w:val="sr-Cyrl-RS"/>
        </w:rPr>
        <w:t>Бр.433/25.06.2020.год.</w:t>
      </w:r>
      <w:bookmarkStart w:id="0" w:name="_GoBack"/>
      <w:bookmarkEnd w:id="0"/>
    </w:p>
    <w:p w14:paraId="2CE41B8F" w14:textId="77777777" w:rsidR="00136C16" w:rsidRDefault="00136C16" w:rsidP="00136C16">
      <w:pPr>
        <w:ind w:firstLine="720"/>
        <w:rPr>
          <w:lang w:val="sr-Cyrl-RS"/>
        </w:rPr>
      </w:pPr>
    </w:p>
    <w:p w14:paraId="65B56E4C" w14:textId="2CD97181" w:rsidR="00392A90" w:rsidRDefault="00392A90" w:rsidP="00136C16">
      <w:pPr>
        <w:ind w:firstLine="720"/>
        <w:rPr>
          <w:lang w:val="sr-Cyrl-RS"/>
        </w:rPr>
      </w:pPr>
      <w:r>
        <w:rPr>
          <w:lang w:val="sr-Cyrl-RS"/>
        </w:rPr>
        <w:t>ПРЕДМЕТ:одговор комисије за јавну набавку на Захтев за додатним информацијама или појашњењима конкурсне документације у поступку</w:t>
      </w:r>
      <w:r w:rsidRPr="00392A90">
        <w:t xml:space="preserve"> </w:t>
      </w:r>
      <w:r>
        <w:t>јавне набавке број 1/20</w:t>
      </w:r>
      <w:r>
        <w:rPr>
          <w:lang w:val="sr-Cyrl-RS"/>
        </w:rPr>
        <w:t>20- превоз ученика и запослених ОШ“Бранко Радичевић“Мелница у школској 2020/2021.години</w:t>
      </w:r>
      <w:r>
        <w:t xml:space="preserve"> , </w:t>
      </w:r>
      <w:r>
        <w:rPr>
          <w:lang w:val="sr-Cyrl-RS"/>
        </w:rPr>
        <w:t xml:space="preserve">измене и допуне </w:t>
      </w:r>
      <w:r w:rsidR="003D77BD">
        <w:rPr>
          <w:lang w:val="sr-Cyrl-RS"/>
        </w:rPr>
        <w:t>Конкурсна документације</w:t>
      </w:r>
      <w:r>
        <w:rPr>
          <w:lang w:val="sr-Cyrl-RS"/>
        </w:rPr>
        <w:t>;</w:t>
      </w:r>
    </w:p>
    <w:p w14:paraId="2DF8DE55" w14:textId="08E01790" w:rsidR="00B13086" w:rsidRDefault="00392A90">
      <w:pPr>
        <w:rPr>
          <w:lang w:val="sr-Cyrl-RS"/>
        </w:rPr>
      </w:pPr>
      <w:r>
        <w:rPr>
          <w:lang w:val="sr-Cyrl-RS"/>
        </w:rPr>
        <w:t>У складу са чланом 63.Закона о јавним набавкама(„Сл.гл.РС“,бр.124/2012,14/2015 и 68/2015),Наручилац је од заинтересованих лица примио Захтев за додатним информацијама и појашњењима конкурсне документације у поступку јавне набавке мале вредности бр.1/2020,који су код Наручиоца заведени под бр.</w:t>
      </w:r>
      <w:r w:rsidR="000D13C2">
        <w:rPr>
          <w:lang w:val="sr-Cyrl-RS"/>
        </w:rPr>
        <w:t>372/23.06.2020.и бр.372/1/23.06.2020.</w:t>
      </w:r>
      <w:r w:rsidR="00F96DB8">
        <w:rPr>
          <w:lang w:val="sr-Cyrl-RS"/>
        </w:rPr>
        <w:t>,који гласи:</w:t>
      </w:r>
      <w:r w:rsidR="00B13086">
        <w:rPr>
          <w:lang w:val="sr-Cyrl-RS"/>
        </w:rPr>
        <w:t xml:space="preserve"> </w:t>
      </w:r>
    </w:p>
    <w:p w14:paraId="64A2C4FB" w14:textId="77777777" w:rsidR="006A0F1B" w:rsidRDefault="006A0F1B">
      <w:pPr>
        <w:rPr>
          <w:lang w:val="sr-Latn-RS"/>
        </w:rPr>
      </w:pPr>
    </w:p>
    <w:p w14:paraId="19907C45" w14:textId="1C4D82E1" w:rsidR="003D77BD" w:rsidRDefault="00F96DB8">
      <w:pPr>
        <w:rPr>
          <w:lang w:val="sr-Cyrl-RS"/>
        </w:rPr>
      </w:pPr>
      <w:r>
        <w:rPr>
          <w:lang w:val="sr-Latn-RS"/>
        </w:rPr>
        <w:t xml:space="preserve">I </w:t>
      </w:r>
      <w:r w:rsidR="00AA2219">
        <w:rPr>
          <w:lang w:val="sr-Cyrl-RS"/>
        </w:rPr>
        <w:t>ЗАХТЕВ</w:t>
      </w:r>
      <w:r w:rsidR="003D77BD">
        <w:rPr>
          <w:lang w:val="sr-Cyrl-RS"/>
        </w:rPr>
        <w:t>:</w:t>
      </w:r>
    </w:p>
    <w:p w14:paraId="0DCF6B96" w14:textId="77777777" w:rsidR="003D77BD" w:rsidRDefault="003D77BD">
      <w:pPr>
        <w:rPr>
          <w:lang w:val="sr-Cyrl-RS"/>
        </w:rPr>
      </w:pPr>
      <w:r>
        <w:rPr>
          <w:lang w:val="sr-Cyrl-RS"/>
        </w:rPr>
        <w:t>За додатним информацијама или појашњењем конкурсне документације број 1/2020 за јавну набавку услуге превоза ученика и запослених:</w:t>
      </w:r>
    </w:p>
    <w:p w14:paraId="0ED40C8A" w14:textId="25378E43" w:rsidR="003D77BD" w:rsidRDefault="003D77BD">
      <w:pPr>
        <w:rPr>
          <w:lang w:val="sr-Cyrl-RS"/>
        </w:rPr>
      </w:pPr>
      <w:r>
        <w:rPr>
          <w:lang w:val="sr-Cyrl-RS"/>
        </w:rPr>
        <w:t>1.К</w:t>
      </w:r>
      <w:r w:rsidR="00A4120E">
        <w:rPr>
          <w:lang w:val="sr-Cyrl-RS"/>
        </w:rPr>
        <w:t>ао обавезан услов из</w:t>
      </w:r>
      <w:r>
        <w:rPr>
          <w:lang w:val="sr-Cyrl-RS"/>
        </w:rPr>
        <w:t xml:space="preserve"> </w:t>
      </w:r>
      <w:r w:rsidR="00A4120E">
        <w:rPr>
          <w:lang w:val="sr-Cyrl-RS"/>
        </w:rPr>
        <w:t>члана</w:t>
      </w:r>
      <w:r>
        <w:rPr>
          <w:lang w:val="sr-Cyrl-RS"/>
        </w:rPr>
        <w:t xml:space="preserve"> 75.</w:t>
      </w:r>
      <w:r w:rsidR="00A4120E">
        <w:rPr>
          <w:lang w:val="sr-Cyrl-RS"/>
        </w:rPr>
        <w:t>тач</w:t>
      </w:r>
      <w:r>
        <w:rPr>
          <w:lang w:val="sr-Cyrl-RS"/>
        </w:rPr>
        <w:t>.Закона о јавним набавкама наведено је да понуђач доставља лиценцу за превоз путника и Извод из Лиценце.</w:t>
      </w:r>
    </w:p>
    <w:p w14:paraId="39282480" w14:textId="171FE5D8" w:rsidR="00AB72EA" w:rsidRDefault="003D77BD">
      <w:pPr>
        <w:rPr>
          <w:lang w:val="sr-Cyrl-RS"/>
        </w:rPr>
      </w:pPr>
      <w:r>
        <w:rPr>
          <w:lang w:val="sr-Cyrl-RS"/>
        </w:rPr>
        <w:t xml:space="preserve">На основу важећих прописа потребно је извршити </w:t>
      </w:r>
      <w:r w:rsidR="006A2C27">
        <w:rPr>
          <w:lang w:val="sr-Cyrl-RS"/>
        </w:rPr>
        <w:t xml:space="preserve"> </w:t>
      </w:r>
      <w:r w:rsidR="00897242">
        <w:rPr>
          <w:lang w:val="sr-Cyrl-RS"/>
        </w:rPr>
        <w:t xml:space="preserve">измену и </w:t>
      </w:r>
      <w:r w:rsidR="006A2C27">
        <w:rPr>
          <w:lang w:val="sr-Cyrl-RS"/>
        </w:rPr>
        <w:t>до</w:t>
      </w:r>
      <w:r>
        <w:rPr>
          <w:lang w:val="sr-Cyrl-RS"/>
        </w:rPr>
        <w:t>дати као</w:t>
      </w:r>
      <w:r w:rsidR="00897242">
        <w:rPr>
          <w:lang w:val="sr-Cyrl-RS"/>
        </w:rPr>
        <w:t xml:space="preserve"> доказ</w:t>
      </w:r>
      <w:r>
        <w:rPr>
          <w:lang w:val="sr-Cyrl-RS"/>
        </w:rPr>
        <w:t xml:space="preserve"> </w:t>
      </w:r>
      <w:r w:rsidR="00897242">
        <w:rPr>
          <w:lang w:val="sr-Cyrl-RS"/>
        </w:rPr>
        <w:t xml:space="preserve"> </w:t>
      </w:r>
      <w:r w:rsidR="006A2C27">
        <w:rPr>
          <w:lang w:val="sr-Cyrl-RS"/>
        </w:rPr>
        <w:t xml:space="preserve">  </w:t>
      </w:r>
      <w:r w:rsidR="00AA2219">
        <w:rPr>
          <w:lang w:val="sr-Cyrl-RS"/>
        </w:rPr>
        <w:t>Привремено</w:t>
      </w:r>
      <w:r>
        <w:rPr>
          <w:lang w:val="sr-Cyrl-RS"/>
        </w:rPr>
        <w:t xml:space="preserve"> </w:t>
      </w:r>
      <w:r w:rsidR="00AA2219">
        <w:rPr>
          <w:lang w:val="sr-Cyrl-RS"/>
        </w:rPr>
        <w:t>решењ</w:t>
      </w:r>
      <w:r>
        <w:rPr>
          <w:lang w:val="sr-Cyrl-RS"/>
        </w:rPr>
        <w:t>е</w:t>
      </w:r>
      <w:r w:rsidR="00AA2219">
        <w:rPr>
          <w:lang w:val="sr-Cyrl-RS"/>
        </w:rPr>
        <w:t xml:space="preserve"> са прегледом возила које издаје Министарство грађевинарства,саобраћаја и инфраструктуре РС</w:t>
      </w:r>
      <w:r>
        <w:rPr>
          <w:lang w:val="sr-Cyrl-RS"/>
        </w:rPr>
        <w:t xml:space="preserve"> којим се превознику дозвољава обављање међународног јавног линијског и ванлинијског превоза путника у друмском саобраћају</w:t>
      </w:r>
      <w:r w:rsidR="00F21776">
        <w:rPr>
          <w:lang w:val="sr-Cyrl-RS"/>
        </w:rPr>
        <w:t xml:space="preserve"> до доношења решења којим се окончава поступак по поднетом захтеву за издавање Лиценце.</w:t>
      </w:r>
      <w:r w:rsidR="006A2C27">
        <w:rPr>
          <w:lang w:val="sr-Cyrl-RS"/>
        </w:rPr>
        <w:t>;</w:t>
      </w:r>
    </w:p>
    <w:p w14:paraId="692A41B2" w14:textId="77777777" w:rsidR="006A0F1B" w:rsidRDefault="006A0F1B">
      <w:pPr>
        <w:rPr>
          <w:lang w:val="sr-Cyrl-RS"/>
        </w:rPr>
      </w:pPr>
    </w:p>
    <w:p w14:paraId="653F6D21" w14:textId="536BC9D1" w:rsidR="002D5F70" w:rsidRDefault="002D5F70">
      <w:pPr>
        <w:rPr>
          <w:lang w:val="sr-Cyrl-RS"/>
        </w:rPr>
      </w:pPr>
      <w:r>
        <w:rPr>
          <w:lang w:val="sr-Cyrl-RS"/>
        </w:rPr>
        <w:t>ОДГОВОР:</w:t>
      </w:r>
    </w:p>
    <w:p w14:paraId="6AD8F31D" w14:textId="78B044DA" w:rsidR="006A2C27" w:rsidRDefault="00897242" w:rsidP="006A2C27">
      <w:pPr>
        <w:rPr>
          <w:lang w:val="sr-Cyrl-RS"/>
        </w:rPr>
      </w:pPr>
      <w:r>
        <w:rPr>
          <w:lang w:val="sr-Cyrl-RS"/>
        </w:rPr>
        <w:t xml:space="preserve">Комисија је оддлучујући о овом захтеву,имајући у виду објашњење  </w:t>
      </w:r>
      <w:r w:rsidR="002D5F70">
        <w:rPr>
          <w:lang w:val="sr-Cyrl-RS"/>
        </w:rPr>
        <w:t>О</w:t>
      </w:r>
      <w:r>
        <w:rPr>
          <w:lang w:val="sr-Cyrl-RS"/>
        </w:rPr>
        <w:t>дсека за лиценцирање и сертификацију у друмском саобраћају надлежног Министарства грађевинарства,саобраћаја и инфраструктуре,</w:t>
      </w:r>
      <w:r w:rsidR="002D5F70">
        <w:rPr>
          <w:lang w:val="sr-Cyrl-RS"/>
        </w:rPr>
        <w:t>у коме се наводи да домаћи превозници могу на законит начин обављати јавни превоз путника у домаћем односно међународном друмском саобраћају уколико поседују лиценцу или Привремено решење,донела одлуку о</w:t>
      </w:r>
      <w:r w:rsidR="00A4120E">
        <w:rPr>
          <w:lang w:val="sr-Cyrl-RS"/>
        </w:rPr>
        <w:t xml:space="preserve"> измени и </w:t>
      </w:r>
      <w:r w:rsidR="002D5F70">
        <w:rPr>
          <w:lang w:val="sr-Cyrl-RS"/>
        </w:rPr>
        <w:t xml:space="preserve"> допуни и то:</w:t>
      </w:r>
    </w:p>
    <w:p w14:paraId="1E5B060F" w14:textId="77777777" w:rsidR="006A0F1B" w:rsidRDefault="006A0F1B">
      <w:pPr>
        <w:rPr>
          <w:lang w:val="sr-Cyrl-RS"/>
        </w:rPr>
      </w:pPr>
    </w:p>
    <w:p w14:paraId="7FE5B53F" w14:textId="152743A6" w:rsidR="0043080D" w:rsidRDefault="006A2C27">
      <w:pPr>
        <w:rPr>
          <w:lang w:val="sr-Cyrl-RS"/>
        </w:rPr>
      </w:pPr>
      <w:r>
        <w:rPr>
          <w:lang w:val="sr-Cyrl-RS"/>
        </w:rPr>
        <w:t>На страни 9</w:t>
      </w:r>
      <w:r w:rsidR="00D729E9">
        <w:rPr>
          <w:lang w:val="sr-Cyrl-RS"/>
        </w:rPr>
        <w:t>,</w:t>
      </w:r>
      <w:r>
        <w:rPr>
          <w:lang w:val="sr-Cyrl-RS"/>
        </w:rPr>
        <w:t xml:space="preserve"> </w:t>
      </w:r>
      <w:r w:rsidR="00A4120E">
        <w:rPr>
          <w:lang w:val="sr-Cyrl-RS"/>
        </w:rPr>
        <w:t xml:space="preserve"> одељак-1.</w:t>
      </w:r>
      <w:r>
        <w:rPr>
          <w:lang w:val="sr-Cyrl-RS"/>
        </w:rPr>
        <w:t xml:space="preserve">, </w:t>
      </w:r>
      <w:r w:rsidR="00D729E9">
        <w:rPr>
          <w:lang w:val="sr-Cyrl-RS"/>
        </w:rPr>
        <w:t xml:space="preserve">сада </w:t>
      </w:r>
      <w:r w:rsidR="0043080D">
        <w:rPr>
          <w:lang w:val="sr-Cyrl-RS"/>
        </w:rPr>
        <w:t>гласи:</w:t>
      </w:r>
    </w:p>
    <w:p w14:paraId="61035B4C" w14:textId="71D78C0E" w:rsidR="002C01A8" w:rsidRDefault="002C01A8" w:rsidP="002C01A8"/>
    <w:p w14:paraId="58D25570" w14:textId="6D79B9BD" w:rsidR="002C01A8" w:rsidRPr="009D1898" w:rsidRDefault="002C01A8" w:rsidP="006A0F1B">
      <w:pPr>
        <w:shd w:val="clear" w:color="auto" w:fill="C6D9F1"/>
        <w:suppressAutoHyphens/>
        <w:spacing w:after="0" w:line="100" w:lineRule="atLeast"/>
        <w:contextualSpacing/>
        <w:jc w:val="both"/>
        <w:rPr>
          <w:rFonts w:eastAsia="Times New Roman"/>
          <w:b/>
          <w:bCs/>
          <w:i/>
          <w:iCs/>
        </w:rPr>
      </w:pPr>
      <w:r>
        <w:rPr>
          <w:rFonts w:eastAsia="Times New Roman"/>
          <w:b/>
          <w:i/>
          <w:iCs/>
        </w:rPr>
        <w:t xml:space="preserve">1. ОБАВЕЗНИ </w:t>
      </w:r>
      <w:r w:rsidRPr="009D1898">
        <w:rPr>
          <w:rFonts w:eastAsia="Times New Roman"/>
          <w:b/>
          <w:i/>
          <w:iCs/>
        </w:rPr>
        <w:t>УСЛОВИ ЗА УЧЕШЋЕ У ПОСТУПКУ</w:t>
      </w:r>
      <w:r>
        <w:rPr>
          <w:rFonts w:eastAsia="Times New Roman"/>
          <w:b/>
          <w:i/>
          <w:iCs/>
        </w:rPr>
        <w:t xml:space="preserve"> ЈАВНЕ НАБАВКЕ ИЗ ЧЛ. 75. </w:t>
      </w:r>
      <w:r w:rsidRPr="009D1898">
        <w:rPr>
          <w:rFonts w:eastAsia="Times New Roman"/>
          <w:b/>
          <w:i/>
          <w:iCs/>
        </w:rPr>
        <w:t>ЗАКОНА</w:t>
      </w:r>
    </w:p>
    <w:p w14:paraId="182499EF" w14:textId="77777777" w:rsidR="002C01A8" w:rsidRPr="0092653B" w:rsidRDefault="002C01A8" w:rsidP="002C01A8"/>
    <w:p w14:paraId="4F321D0C" w14:textId="77777777" w:rsidR="002C01A8" w:rsidRPr="0092653B" w:rsidRDefault="002C01A8" w:rsidP="002C01A8">
      <w:r w:rsidRPr="0092653B">
        <w:t>Право на учешће у поступку јавне набавке има понуђач који испуњава обавезне услове за учешће у поступку јавне набавке дефинисане чланом 75 ЗЈН, и то:</w:t>
      </w:r>
    </w:p>
    <w:p w14:paraId="50912A2D" w14:textId="77777777" w:rsidR="002C01A8" w:rsidRPr="0092653B" w:rsidRDefault="002C01A8" w:rsidP="002C01A8"/>
    <w:p w14:paraId="6C0BF1DD" w14:textId="77777777" w:rsidR="002C01A8" w:rsidRDefault="002C01A8" w:rsidP="002C01A8">
      <w:pPr>
        <w:rPr>
          <w:i/>
        </w:rPr>
      </w:pPr>
      <w:r w:rsidRPr="00AC0B41">
        <w:rPr>
          <w:b/>
          <w:lang w:val="sr-Cyrl-RS"/>
        </w:rPr>
        <w:t>1)</w:t>
      </w:r>
      <w:r w:rsidRPr="0092653B">
        <w:t xml:space="preserve">Да је регистрован код надлежног органа, односно уписан у одговарајући регистар </w:t>
      </w:r>
      <w:r w:rsidRPr="0092653B">
        <w:rPr>
          <w:i/>
        </w:rPr>
        <w:t>(чл. 75. ст. 1. тач. 1) Закона);</w:t>
      </w:r>
    </w:p>
    <w:p w14:paraId="214A8C3F" w14:textId="77777777" w:rsidR="002C01A8" w:rsidRPr="0092653B" w:rsidRDefault="002C01A8" w:rsidP="002C01A8"/>
    <w:p w14:paraId="43F30229" w14:textId="77777777" w:rsidR="002C01A8" w:rsidRDefault="002C01A8" w:rsidP="002C01A8">
      <w:pPr>
        <w:rPr>
          <w:i/>
          <w:iCs/>
        </w:rPr>
      </w:pPr>
      <w:r w:rsidRPr="00AC0B41">
        <w:rPr>
          <w:b/>
          <w:lang w:val="sr-Cyrl-RS"/>
        </w:rPr>
        <w:t>2)</w:t>
      </w:r>
      <w:r w:rsidRPr="0092653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2653B">
        <w:rPr>
          <w:i/>
          <w:iCs/>
        </w:rPr>
        <w:t>(чл. 75. ст. 1. тач. 2) Закона);</w:t>
      </w:r>
    </w:p>
    <w:p w14:paraId="03E16C46" w14:textId="77777777" w:rsidR="002C01A8" w:rsidRDefault="002C01A8" w:rsidP="002C01A8">
      <w:pPr>
        <w:rPr>
          <w:i/>
          <w:iCs/>
        </w:rPr>
      </w:pPr>
      <w:r w:rsidRPr="00AC0B41">
        <w:rPr>
          <w:b/>
          <w:lang w:val="sr-Cyrl-RS"/>
        </w:rPr>
        <w:t>3)</w:t>
      </w:r>
      <w:r w:rsidRPr="0092653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2653B">
        <w:rPr>
          <w:i/>
          <w:iCs/>
        </w:rPr>
        <w:t>(чл. 75. ст. 1. тач. 4) Закона);</w:t>
      </w:r>
    </w:p>
    <w:p w14:paraId="7011367A" w14:textId="40ACE9DC" w:rsidR="002C01A8" w:rsidRDefault="002C01A8" w:rsidP="002C01A8">
      <w:pPr>
        <w:rPr>
          <w:i/>
        </w:rPr>
      </w:pPr>
      <w:r w:rsidRPr="00A7452E">
        <w:rPr>
          <w:b/>
          <w:lang w:val="sr-Cyrl-RS"/>
        </w:rPr>
        <w:t>4)</w:t>
      </w:r>
      <w:r w:rsidRPr="0092653B">
        <w:t>Да има важећу дозволу надлежног органа за обављање делатности која је предмет јавне набавке (чл.75. ст.1.тач. 5) Закона –Лиценцу за превоз и извод из лиценце</w:t>
      </w:r>
      <w:r>
        <w:rPr>
          <w:lang w:val="sr-Cyrl-RS"/>
        </w:rPr>
        <w:t xml:space="preserve"> (или привремено решење </w:t>
      </w:r>
      <w:r w:rsidRPr="0033538A">
        <w:rPr>
          <w:b/>
          <w:bCs/>
          <w:lang w:val="sr-Cyrl-RS"/>
        </w:rPr>
        <w:t xml:space="preserve"> </w:t>
      </w:r>
      <w:r>
        <w:rPr>
          <w:lang w:val="sr-Cyrl-RS"/>
        </w:rPr>
        <w:t>које издаје Министарство надлежно за послове  саобраћаја за обављање домаћег линијског и ванлинијског превоза путника у друмском саобраћају којим се превознику дозвољава обављање међународног јавног линијског и ванлинијског превоза путника у друмском саобраћају до доношења решења којим се окончава поступак по поднетом захтеву за издавање лиценце)</w:t>
      </w:r>
      <w:r w:rsidRPr="0092653B">
        <w:t>коју издаје Министарство надлежно за послове саобраћаја</w:t>
      </w:r>
      <w:r w:rsidRPr="0092653B">
        <w:rPr>
          <w:i/>
        </w:rPr>
        <w:t xml:space="preserve"> </w:t>
      </w:r>
      <w:r w:rsidRPr="0092653B">
        <w:t>за обављање домаћег линијског и ванлинијског превоза путника у друмском саобраћају</w:t>
      </w:r>
      <w:r w:rsidRPr="0092653B">
        <w:rPr>
          <w:i/>
        </w:rPr>
        <w:t xml:space="preserve"> .Дозвола мора бити важећа.</w:t>
      </w:r>
    </w:p>
    <w:p w14:paraId="151F84FC" w14:textId="77777777" w:rsidR="002C01A8" w:rsidRPr="006079F7" w:rsidRDefault="002C01A8" w:rsidP="002C01A8">
      <w:pPr>
        <w:rPr>
          <w:lang w:val="en-US"/>
        </w:rPr>
      </w:pPr>
      <w:r w:rsidRPr="00A7452E">
        <w:rPr>
          <w:b/>
          <w:lang w:val="sr-Cyrl-RS"/>
        </w:rPr>
        <w:t>5)</w:t>
      </w:r>
      <w:r w:rsidRPr="0092653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92653B">
        <w:rPr>
          <w:i/>
          <w:iCs/>
        </w:rPr>
        <w:t>(чл. 75. ст. 2. Закона).</w:t>
      </w:r>
    </w:p>
    <w:p w14:paraId="6055447F" w14:textId="77777777" w:rsidR="006A0F1B" w:rsidRDefault="006A0F1B">
      <w:pPr>
        <w:rPr>
          <w:lang w:val="sr-Latn-RS"/>
        </w:rPr>
      </w:pPr>
    </w:p>
    <w:p w14:paraId="446FC17F" w14:textId="74BE1926" w:rsidR="00A4120E" w:rsidRDefault="00F96DB8">
      <w:pPr>
        <w:rPr>
          <w:lang w:val="sr-Cyrl-RS"/>
        </w:rPr>
      </w:pPr>
      <w:r>
        <w:rPr>
          <w:lang w:val="sr-Latn-RS"/>
        </w:rPr>
        <w:t>II</w:t>
      </w:r>
      <w:r w:rsidR="00D729E9">
        <w:rPr>
          <w:lang w:val="sr-Cyrl-RS"/>
        </w:rPr>
        <w:t>.З</w:t>
      </w:r>
      <w:r w:rsidR="00A4120E">
        <w:rPr>
          <w:lang w:val="sr-Cyrl-RS"/>
        </w:rPr>
        <w:t>АХТЕВ:</w:t>
      </w:r>
    </w:p>
    <w:p w14:paraId="667CF1C1" w14:textId="79D0C6B3" w:rsidR="00D729E9" w:rsidRDefault="00D729E9">
      <w:pPr>
        <w:rPr>
          <w:lang w:val="sr-Cyrl-RS"/>
        </w:rPr>
      </w:pPr>
      <w:r>
        <w:rPr>
          <w:lang w:val="sr-Cyrl-RS"/>
        </w:rPr>
        <w:t xml:space="preserve">  </w:t>
      </w:r>
      <w:r w:rsidR="00A4120E">
        <w:rPr>
          <w:lang w:val="sr-Cyrl-RS"/>
        </w:rPr>
        <w:t xml:space="preserve">У </w:t>
      </w:r>
      <w:r>
        <w:rPr>
          <w:lang w:val="sr-Cyrl-RS"/>
        </w:rPr>
        <w:t xml:space="preserve"> обрасцу  „Структура цене са упутством како да се попуни“   наведено </w:t>
      </w:r>
      <w:r w:rsidR="00A4120E">
        <w:rPr>
          <w:lang w:val="sr-Cyrl-RS"/>
        </w:rPr>
        <w:t xml:space="preserve">је </w:t>
      </w:r>
      <w:r>
        <w:rPr>
          <w:lang w:val="sr-Cyrl-RS"/>
        </w:rPr>
        <w:t>да се износ за уговорени период за ученике обрачунава за укупно 6 месеци.</w:t>
      </w:r>
      <w:r w:rsidR="006A0F1B">
        <w:rPr>
          <w:lang w:val="sr-Cyrl-RS"/>
        </w:rPr>
        <w:t>Ако се узме у обзир да да просечан месец има 20 радних дана онда школска година од 180 дана има 9 месеци.Да ли је у питању грешка?</w:t>
      </w:r>
    </w:p>
    <w:p w14:paraId="443B135B" w14:textId="066F1BA4" w:rsidR="00E47D59" w:rsidRDefault="00D729E9" w:rsidP="00E47D59">
      <w:pPr>
        <w:rPr>
          <w:lang w:val="sr-Cyrl-RS"/>
        </w:rPr>
      </w:pPr>
      <w:r>
        <w:rPr>
          <w:lang w:val="sr-Cyrl-RS"/>
        </w:rPr>
        <w:t xml:space="preserve">ОДГОВОР: </w:t>
      </w:r>
      <w:r w:rsidR="007F06DC">
        <w:rPr>
          <w:lang w:val="sr-Cyrl-RS"/>
        </w:rPr>
        <w:t>Да,грешка је ,</w:t>
      </w:r>
      <w:r w:rsidR="007310B5">
        <w:rPr>
          <w:lang w:val="sr-Cyrl-RS"/>
        </w:rPr>
        <w:t xml:space="preserve">део обрасца </w:t>
      </w:r>
      <w:r w:rsidR="007F06DC">
        <w:rPr>
          <w:lang w:val="sr-Cyrl-RS"/>
        </w:rPr>
        <w:t xml:space="preserve"> на страни 30,31,</w:t>
      </w:r>
      <w:r w:rsidR="007310B5">
        <w:rPr>
          <w:lang w:val="sr-Cyrl-RS"/>
        </w:rPr>
        <w:t xml:space="preserve">на коме је грешка уочена </w:t>
      </w:r>
      <w:r w:rsidR="007F06DC">
        <w:rPr>
          <w:lang w:val="sr-Cyrl-RS"/>
        </w:rPr>
        <w:t>измењен је и сада гласи:</w:t>
      </w:r>
    </w:p>
    <w:p w14:paraId="31BF70DD" w14:textId="67B62EFB" w:rsidR="00E47D59" w:rsidRDefault="00E47D59" w:rsidP="00E47D59">
      <w:pPr>
        <w:rPr>
          <w:lang w:val="sr-Cyrl-RS"/>
        </w:rPr>
      </w:pPr>
    </w:p>
    <w:tbl>
      <w:tblPr>
        <w:tblW w:w="19254" w:type="dxa"/>
        <w:tblInd w:w="-11" w:type="dxa"/>
        <w:tblLayout w:type="fixed"/>
        <w:tblCellMar>
          <w:top w:w="17" w:type="dxa"/>
          <w:left w:w="17" w:type="dxa"/>
          <w:right w:w="17" w:type="dxa"/>
        </w:tblCellMar>
        <w:tblLook w:val="0000" w:firstRow="0" w:lastRow="0" w:firstColumn="0" w:lastColumn="0" w:noHBand="0" w:noVBand="0"/>
      </w:tblPr>
      <w:tblGrid>
        <w:gridCol w:w="339"/>
        <w:gridCol w:w="1365"/>
        <w:gridCol w:w="1080"/>
        <w:gridCol w:w="1950"/>
        <w:gridCol w:w="1980"/>
        <w:gridCol w:w="1620"/>
        <w:gridCol w:w="1560"/>
        <w:gridCol w:w="1560"/>
        <w:gridCol w:w="1560"/>
        <w:gridCol w:w="1560"/>
        <w:gridCol w:w="1560"/>
        <w:gridCol w:w="1560"/>
        <w:gridCol w:w="1560"/>
      </w:tblGrid>
      <w:tr w:rsidR="00E47D59" w14:paraId="77D692A5" w14:textId="77777777" w:rsidTr="00985453">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14:paraId="17E291E8" w14:textId="7FA2D036" w:rsidR="00E47D59" w:rsidRDefault="00E47D59" w:rsidP="00985453">
            <w:pPr>
              <w:rPr>
                <w:lang w:val="sr-Cyrl-RS"/>
              </w:rPr>
            </w:pPr>
            <w:r>
              <w:rPr>
                <w:lang w:val="sr-Cyrl-RS"/>
              </w:rPr>
              <w:t xml:space="preserve">              </w:t>
            </w:r>
          </w:p>
          <w:p w14:paraId="6A043F04" w14:textId="77777777" w:rsidR="00E47D59" w:rsidRPr="00D409A0" w:rsidRDefault="00E47D59" w:rsidP="00985453">
            <w:pPr>
              <w:rPr>
                <w:lang w:val="sr-Cyrl-RS"/>
              </w:rPr>
            </w:pPr>
            <w:r>
              <w:rPr>
                <w:lang w:val="sr-Cyrl-RS"/>
              </w:rPr>
              <w:t xml:space="preserve">                                                       ЗАПОСЛЕНИ (   НАСТАВНИЦИ )</w:t>
            </w:r>
          </w:p>
        </w:tc>
        <w:tc>
          <w:tcPr>
            <w:tcW w:w="1560" w:type="dxa"/>
            <w:vAlign w:val="center"/>
          </w:tcPr>
          <w:p w14:paraId="3FF27AD2" w14:textId="77777777" w:rsidR="00E47D59" w:rsidRPr="001D17D3" w:rsidRDefault="00E47D59" w:rsidP="00985453">
            <w:pPr>
              <w:rPr>
                <w:lang w:val="sr-Cyrl-RS"/>
              </w:rPr>
            </w:pPr>
          </w:p>
        </w:tc>
        <w:tc>
          <w:tcPr>
            <w:tcW w:w="1560" w:type="dxa"/>
            <w:vAlign w:val="center"/>
          </w:tcPr>
          <w:p w14:paraId="545E9DE8" w14:textId="77777777" w:rsidR="00E47D59" w:rsidRPr="001D17D3" w:rsidRDefault="00E47D59" w:rsidP="00985453">
            <w:pPr>
              <w:ind w:left="57"/>
              <w:jc w:val="center"/>
              <w:rPr>
                <w:lang w:val="sr-Cyrl-RS"/>
              </w:rPr>
            </w:pPr>
            <w:r>
              <w:rPr>
                <w:lang w:val="sr-Cyrl-RS"/>
              </w:rPr>
              <w:t>8</w:t>
            </w:r>
          </w:p>
        </w:tc>
        <w:tc>
          <w:tcPr>
            <w:tcW w:w="1560" w:type="dxa"/>
            <w:vAlign w:val="center"/>
          </w:tcPr>
          <w:p w14:paraId="4CDCC265" w14:textId="77777777" w:rsidR="00E47D59" w:rsidRDefault="00E47D59" w:rsidP="00985453">
            <w:pPr>
              <w:ind w:left="57"/>
            </w:pPr>
          </w:p>
        </w:tc>
        <w:tc>
          <w:tcPr>
            <w:tcW w:w="1560" w:type="dxa"/>
            <w:vAlign w:val="center"/>
          </w:tcPr>
          <w:p w14:paraId="4C1A72DC" w14:textId="77777777" w:rsidR="00E47D59" w:rsidRDefault="00E47D59" w:rsidP="00985453">
            <w:pPr>
              <w:ind w:left="57"/>
            </w:pPr>
          </w:p>
        </w:tc>
        <w:tc>
          <w:tcPr>
            <w:tcW w:w="1560" w:type="dxa"/>
            <w:vAlign w:val="center"/>
          </w:tcPr>
          <w:p w14:paraId="2DB5376B" w14:textId="77777777" w:rsidR="00E47D59" w:rsidRDefault="00E47D59" w:rsidP="00985453">
            <w:pPr>
              <w:ind w:left="57"/>
            </w:pPr>
          </w:p>
        </w:tc>
        <w:tc>
          <w:tcPr>
            <w:tcW w:w="1560" w:type="dxa"/>
            <w:vAlign w:val="center"/>
          </w:tcPr>
          <w:p w14:paraId="1C1BC104" w14:textId="77777777" w:rsidR="00E47D59" w:rsidRDefault="00E47D59" w:rsidP="00985453">
            <w:pPr>
              <w:ind w:left="57"/>
            </w:pPr>
          </w:p>
          <w:p w14:paraId="6FC87251" w14:textId="77777777" w:rsidR="00E47D59" w:rsidRDefault="00E47D59" w:rsidP="00985453">
            <w:pPr>
              <w:ind w:left="57"/>
            </w:pPr>
          </w:p>
        </w:tc>
      </w:tr>
      <w:tr w:rsidR="00E47D59" w14:paraId="7B6FF229"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7DC4C2A4" w14:textId="77777777" w:rsidR="00E47D59" w:rsidRPr="00D409A0" w:rsidRDefault="00E47D59" w:rsidP="00985453">
            <w:pPr>
              <w:ind w:left="16"/>
              <w:jc w:val="center"/>
              <w:rPr>
                <w:lang w:val="sr-Cyrl-RS"/>
              </w:rP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14:paraId="006C13C7" w14:textId="77777777" w:rsidR="00E47D59" w:rsidRPr="001D17D3" w:rsidRDefault="00E47D59" w:rsidP="00985453">
            <w:pPr>
              <w:rPr>
                <w:lang w:val="sr-Cyrl-RS"/>
              </w:rP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14:paraId="4D3F790E" w14:textId="77777777" w:rsidR="00E47D59" w:rsidRPr="00D409A0" w:rsidRDefault="00E47D59" w:rsidP="00985453">
            <w:pPr>
              <w:ind w:left="57"/>
              <w:jc w:val="center"/>
              <w:rPr>
                <w:lang w:val="sr-Cyrl-RS"/>
              </w:rPr>
            </w:pPr>
            <w:r>
              <w:rPr>
                <w:lang w:val="sr-Cyrl-RS"/>
              </w:rPr>
              <w:t xml:space="preserve"> Просечанб</w:t>
            </w:r>
            <w:r>
              <w:t xml:space="preserve">рој </w:t>
            </w:r>
            <w:r>
              <w:rPr>
                <w:lang w:val="sr-Cyrl-RS"/>
              </w:rPr>
              <w:lastRenderedPageBreak/>
              <w:t>наставника</w:t>
            </w:r>
          </w:p>
        </w:tc>
        <w:tc>
          <w:tcPr>
            <w:tcW w:w="1950" w:type="dxa"/>
            <w:tcBorders>
              <w:top w:val="single" w:sz="4" w:space="0" w:color="000000"/>
              <w:left w:val="single" w:sz="4" w:space="0" w:color="000000"/>
              <w:bottom w:val="single" w:sz="4" w:space="0" w:color="000000"/>
            </w:tcBorders>
            <w:shd w:val="clear" w:color="auto" w:fill="auto"/>
            <w:vAlign w:val="center"/>
          </w:tcPr>
          <w:p w14:paraId="1713FE08" w14:textId="77777777" w:rsidR="00E47D59" w:rsidRPr="009F5A41" w:rsidRDefault="00E47D59" w:rsidP="00985453">
            <w:pPr>
              <w:ind w:left="57"/>
              <w:rPr>
                <w:lang w:val="sr-Cyrl-RS"/>
              </w:rPr>
            </w:pPr>
            <w:r>
              <w:lastRenderedPageBreak/>
              <w:t xml:space="preserve">Износ </w:t>
            </w:r>
            <w:r>
              <w:rPr>
                <w:lang w:val="sr-Cyrl-RS"/>
              </w:rPr>
              <w:t xml:space="preserve">јединичне </w:t>
            </w:r>
            <w:r>
              <w:t>цене  карте</w:t>
            </w:r>
            <w:r>
              <w:rPr>
                <w:lang w:val="sr-Cyrl-RS"/>
              </w:rPr>
              <w:t xml:space="preserve"> без ПДВ-а </w:t>
            </w:r>
          </w:p>
        </w:tc>
        <w:tc>
          <w:tcPr>
            <w:tcW w:w="1980" w:type="dxa"/>
            <w:tcBorders>
              <w:top w:val="single" w:sz="4" w:space="0" w:color="000000"/>
              <w:left w:val="single" w:sz="4" w:space="0" w:color="000000"/>
              <w:bottom w:val="single" w:sz="4" w:space="0" w:color="000000"/>
            </w:tcBorders>
            <w:shd w:val="clear" w:color="auto" w:fill="auto"/>
            <w:vAlign w:val="center"/>
          </w:tcPr>
          <w:p w14:paraId="75054614" w14:textId="77777777" w:rsidR="00E47D59" w:rsidRPr="009F5A41" w:rsidRDefault="00E47D59" w:rsidP="00985453">
            <w:pPr>
              <w:ind w:left="57"/>
              <w:rPr>
                <w:lang w:val="sr-Cyrl-RS"/>
              </w:rPr>
            </w:pPr>
            <w:r>
              <w:rPr>
                <w:lang w:val="sr-Cyrl-RS"/>
              </w:rPr>
              <w:t>Износ јединичне цене карте са ПДВ-ом</w:t>
            </w:r>
          </w:p>
        </w:tc>
        <w:tc>
          <w:tcPr>
            <w:tcW w:w="1620" w:type="dxa"/>
            <w:tcBorders>
              <w:top w:val="single" w:sz="4" w:space="0" w:color="000000"/>
              <w:left w:val="single" w:sz="4" w:space="0" w:color="000000"/>
              <w:bottom w:val="single" w:sz="4" w:space="0" w:color="000000"/>
            </w:tcBorders>
            <w:shd w:val="clear" w:color="auto" w:fill="auto"/>
            <w:vAlign w:val="center"/>
          </w:tcPr>
          <w:p w14:paraId="665E70EA" w14:textId="77777777" w:rsidR="00E47D59" w:rsidRPr="009F5A41" w:rsidRDefault="00E47D59" w:rsidP="00985453">
            <w:pPr>
              <w:ind w:left="57"/>
              <w:rPr>
                <w:lang w:val="sr-Cyrl-RS"/>
              </w:rPr>
            </w:pPr>
            <w:r>
              <w:rPr>
                <w:lang w:val="sr-Cyrl-RS"/>
              </w:rPr>
              <w:t xml:space="preserve">Укупан износ карте на датој релацији  без ПДВ-а за све наставнике за </w:t>
            </w:r>
            <w:r>
              <w:rPr>
                <w:lang w:val="sr-Cyrl-RS"/>
              </w:rPr>
              <w:lastRenderedPageBreak/>
              <w:t>наведени бр.радних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01EA064" w14:textId="77777777" w:rsidR="00E47D59" w:rsidRDefault="00E47D59" w:rsidP="00985453">
            <w:pPr>
              <w:ind w:left="57"/>
            </w:pPr>
            <w:r>
              <w:rPr>
                <w:lang w:val="sr-Cyrl-RS"/>
              </w:rPr>
              <w:lastRenderedPageBreak/>
              <w:t xml:space="preserve">Укупан износ карте на датој релацији  са ПДВ-ом за све наставнике за </w:t>
            </w:r>
            <w:r>
              <w:rPr>
                <w:lang w:val="sr-Cyrl-RS"/>
              </w:rPr>
              <w:lastRenderedPageBreak/>
              <w:t>наведени бр.раднх дана</w:t>
            </w:r>
          </w:p>
          <w:p w14:paraId="41FBFEEF" w14:textId="77777777" w:rsidR="00E47D59" w:rsidRPr="009F5A41" w:rsidRDefault="00E47D59" w:rsidP="00985453">
            <w:pPr>
              <w:rPr>
                <w:lang w:val="sr-Cyrl-RS"/>
              </w:rPr>
            </w:pPr>
          </w:p>
        </w:tc>
      </w:tr>
      <w:tr w:rsidR="00E47D59" w14:paraId="2106039B"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10A9F8D9" w14:textId="77777777" w:rsidR="00E47D59" w:rsidRPr="009F5A41" w:rsidRDefault="00E47D59" w:rsidP="00985453">
            <w:pPr>
              <w:ind w:left="16"/>
              <w:jc w:val="center"/>
              <w:rPr>
                <w:lang w:val="sr-Cyrl-RS"/>
              </w:rPr>
            </w:pPr>
            <w:r>
              <w:rPr>
                <w:lang w:val="sr-Cyrl-RS"/>
              </w:rPr>
              <w:lastRenderedPageBreak/>
              <w:t>1</w:t>
            </w:r>
          </w:p>
        </w:tc>
        <w:tc>
          <w:tcPr>
            <w:tcW w:w="1365" w:type="dxa"/>
            <w:tcBorders>
              <w:top w:val="single" w:sz="4" w:space="0" w:color="000000"/>
              <w:left w:val="single" w:sz="4" w:space="0" w:color="000000"/>
              <w:bottom w:val="single" w:sz="4" w:space="0" w:color="000000"/>
            </w:tcBorders>
            <w:shd w:val="clear" w:color="auto" w:fill="auto"/>
            <w:vAlign w:val="center"/>
          </w:tcPr>
          <w:p w14:paraId="63BC4A50" w14:textId="77777777" w:rsidR="00E47D59" w:rsidRPr="009F5A41" w:rsidRDefault="00E47D59" w:rsidP="00985453">
            <w:pPr>
              <w:rPr>
                <w:lang w:val="sr-Cyrl-RS"/>
              </w:rPr>
            </w:pPr>
            <w:r>
              <w:rPr>
                <w:lang w:val="sr-Cyrl-RS"/>
              </w:rPr>
              <w:t xml:space="preserve">             2</w:t>
            </w:r>
          </w:p>
        </w:tc>
        <w:tc>
          <w:tcPr>
            <w:tcW w:w="1080" w:type="dxa"/>
            <w:tcBorders>
              <w:top w:val="single" w:sz="4" w:space="0" w:color="000000"/>
              <w:left w:val="single" w:sz="4" w:space="0" w:color="000000"/>
              <w:bottom w:val="single" w:sz="4" w:space="0" w:color="000000"/>
            </w:tcBorders>
            <w:shd w:val="clear" w:color="auto" w:fill="auto"/>
            <w:vAlign w:val="center"/>
          </w:tcPr>
          <w:p w14:paraId="497BC2B8" w14:textId="77777777" w:rsidR="00E47D59" w:rsidRDefault="00E47D59" w:rsidP="00985453">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14:paraId="2BE9D6A6" w14:textId="77777777" w:rsidR="00E47D59" w:rsidRPr="009F5A41" w:rsidRDefault="00E47D59" w:rsidP="00985453">
            <w:pPr>
              <w:ind w:left="57"/>
              <w:rPr>
                <w:lang w:val="sr-Cyrl-RS"/>
              </w:rPr>
            </w:pPr>
            <w:r>
              <w:rPr>
                <w:lang w:val="sr-Cyrl-RS"/>
              </w:rPr>
              <w:t xml:space="preserve">              4</w:t>
            </w:r>
          </w:p>
        </w:tc>
        <w:tc>
          <w:tcPr>
            <w:tcW w:w="1980" w:type="dxa"/>
            <w:tcBorders>
              <w:top w:val="single" w:sz="4" w:space="0" w:color="000000"/>
              <w:left w:val="single" w:sz="4" w:space="0" w:color="000000"/>
              <w:bottom w:val="single" w:sz="4" w:space="0" w:color="000000"/>
            </w:tcBorders>
            <w:shd w:val="clear" w:color="auto" w:fill="auto"/>
            <w:vAlign w:val="center"/>
          </w:tcPr>
          <w:p w14:paraId="44DC74EC" w14:textId="77777777" w:rsidR="00E47D59" w:rsidRDefault="00E47D59" w:rsidP="00985453">
            <w:pPr>
              <w:ind w:left="57"/>
              <w:rPr>
                <w:lang w:val="sr-Cyrl-RS"/>
              </w:rPr>
            </w:pPr>
            <w:r>
              <w:rPr>
                <w:lang w:val="sr-Cyrl-RS"/>
              </w:rPr>
              <w:t xml:space="preserve">           5</w:t>
            </w:r>
          </w:p>
        </w:tc>
        <w:tc>
          <w:tcPr>
            <w:tcW w:w="1620" w:type="dxa"/>
            <w:tcBorders>
              <w:top w:val="single" w:sz="4" w:space="0" w:color="000000"/>
              <w:left w:val="single" w:sz="4" w:space="0" w:color="000000"/>
              <w:bottom w:val="single" w:sz="4" w:space="0" w:color="000000"/>
            </w:tcBorders>
            <w:shd w:val="clear" w:color="auto" w:fill="auto"/>
            <w:vAlign w:val="center"/>
          </w:tcPr>
          <w:p w14:paraId="587E5AAC" w14:textId="77777777" w:rsidR="00E47D59" w:rsidRDefault="00E47D59" w:rsidP="00985453">
            <w:pPr>
              <w:ind w:left="57"/>
              <w:rPr>
                <w:lang w:val="sr-Cyrl-RS"/>
              </w:rPr>
            </w:pPr>
            <w:r>
              <w:rPr>
                <w:lang w:val="sr-Cyrl-RS"/>
              </w:rPr>
              <w:t xml:space="preserve">         6</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26969A1" w14:textId="77777777" w:rsidR="00E47D59" w:rsidRDefault="00E47D59" w:rsidP="00985453">
            <w:pPr>
              <w:ind w:left="57"/>
              <w:rPr>
                <w:lang w:val="sr-Cyrl-RS"/>
              </w:rPr>
            </w:pPr>
            <w:r>
              <w:rPr>
                <w:lang w:val="sr-Cyrl-RS"/>
              </w:rPr>
              <w:t xml:space="preserve">           7</w:t>
            </w:r>
          </w:p>
        </w:tc>
      </w:tr>
      <w:tr w:rsidR="00E47D59" w14:paraId="2299D8A5" w14:textId="77777777" w:rsidTr="00985453">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14:paraId="7EC51B09" w14:textId="77777777" w:rsidR="00E47D59" w:rsidRPr="00240FD5" w:rsidRDefault="00E47D59" w:rsidP="00985453">
            <w:pPr>
              <w:ind w:left="16"/>
              <w:jc w:val="center"/>
              <w:rPr>
                <w:lang w:val="sr-Latn-RS"/>
              </w:rPr>
            </w:pPr>
          </w:p>
        </w:tc>
        <w:tc>
          <w:tcPr>
            <w:tcW w:w="1560" w:type="dxa"/>
            <w:vAlign w:val="center"/>
          </w:tcPr>
          <w:p w14:paraId="6AAB3548" w14:textId="77777777" w:rsidR="00E47D59" w:rsidRPr="001D17D3" w:rsidRDefault="00E47D59" w:rsidP="00985453">
            <w:pPr>
              <w:jc w:val="center"/>
              <w:rPr>
                <w:lang w:val="sr-Cyrl-RS"/>
              </w:rPr>
            </w:pPr>
          </w:p>
        </w:tc>
        <w:tc>
          <w:tcPr>
            <w:tcW w:w="1560" w:type="dxa"/>
            <w:vAlign w:val="center"/>
          </w:tcPr>
          <w:p w14:paraId="452805AA" w14:textId="77777777" w:rsidR="00E47D59" w:rsidRPr="001D17D3" w:rsidRDefault="00E47D59" w:rsidP="00985453">
            <w:pPr>
              <w:ind w:left="57"/>
              <w:jc w:val="center"/>
              <w:rPr>
                <w:lang w:val="sr-Cyrl-RS"/>
              </w:rPr>
            </w:pPr>
            <w:r>
              <w:rPr>
                <w:lang w:val="sr-Cyrl-RS"/>
              </w:rPr>
              <w:t>8</w:t>
            </w:r>
          </w:p>
        </w:tc>
        <w:tc>
          <w:tcPr>
            <w:tcW w:w="1560" w:type="dxa"/>
            <w:vAlign w:val="center"/>
          </w:tcPr>
          <w:p w14:paraId="2B6E23ED" w14:textId="77777777" w:rsidR="00E47D59" w:rsidRDefault="00E47D59" w:rsidP="00985453">
            <w:pPr>
              <w:ind w:left="57"/>
            </w:pPr>
          </w:p>
        </w:tc>
        <w:tc>
          <w:tcPr>
            <w:tcW w:w="1560" w:type="dxa"/>
            <w:vAlign w:val="center"/>
          </w:tcPr>
          <w:p w14:paraId="3B64F46B" w14:textId="77777777" w:rsidR="00E47D59" w:rsidRDefault="00E47D59" w:rsidP="00985453">
            <w:pPr>
              <w:ind w:left="57"/>
            </w:pPr>
          </w:p>
        </w:tc>
        <w:tc>
          <w:tcPr>
            <w:tcW w:w="1560" w:type="dxa"/>
            <w:vAlign w:val="center"/>
          </w:tcPr>
          <w:p w14:paraId="2B0184FD" w14:textId="77777777" w:rsidR="00E47D59" w:rsidRDefault="00E47D59" w:rsidP="00985453">
            <w:pPr>
              <w:ind w:left="57"/>
            </w:pPr>
          </w:p>
        </w:tc>
        <w:tc>
          <w:tcPr>
            <w:tcW w:w="1560" w:type="dxa"/>
            <w:vAlign w:val="center"/>
          </w:tcPr>
          <w:p w14:paraId="7457A8C3" w14:textId="77777777" w:rsidR="00E47D59" w:rsidRDefault="00E47D59" w:rsidP="00985453">
            <w:pPr>
              <w:ind w:left="57"/>
            </w:pPr>
          </w:p>
          <w:p w14:paraId="61F22C49" w14:textId="77777777" w:rsidR="00E47D59" w:rsidRDefault="00E47D59" w:rsidP="00985453">
            <w:pPr>
              <w:ind w:left="57"/>
            </w:pPr>
          </w:p>
        </w:tc>
      </w:tr>
      <w:tr w:rsidR="00E47D59" w14:paraId="3C28489B"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0318E98B" w14:textId="77777777" w:rsidR="00E47D59" w:rsidRPr="009F5A41" w:rsidRDefault="00E47D59" w:rsidP="00985453">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14:paraId="6DC4246D" w14:textId="77777777" w:rsidR="00E47D59" w:rsidRPr="001D17D3" w:rsidRDefault="00E47D59" w:rsidP="00985453">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14:paraId="18B66CE1" w14:textId="77777777" w:rsidR="00E47D59" w:rsidRPr="001D17D3" w:rsidRDefault="00E47D59" w:rsidP="00985453">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14:paraId="297BA0EC" w14:textId="77777777" w:rsidR="00E47D59" w:rsidRDefault="00E47D59" w:rsidP="00985453">
            <w:pPr>
              <w:ind w:left="57"/>
            </w:pPr>
          </w:p>
        </w:tc>
        <w:tc>
          <w:tcPr>
            <w:tcW w:w="1980" w:type="dxa"/>
            <w:tcBorders>
              <w:top w:val="single" w:sz="4" w:space="0" w:color="000000"/>
              <w:left w:val="single" w:sz="4" w:space="0" w:color="000000"/>
              <w:bottom w:val="single" w:sz="4" w:space="0" w:color="000000"/>
            </w:tcBorders>
            <w:shd w:val="clear" w:color="auto" w:fill="auto"/>
            <w:vAlign w:val="center"/>
          </w:tcPr>
          <w:p w14:paraId="06D94585" w14:textId="77777777" w:rsidR="00E47D59" w:rsidRDefault="00E47D59" w:rsidP="00985453">
            <w:pPr>
              <w:ind w:left="57"/>
            </w:pPr>
          </w:p>
        </w:tc>
        <w:tc>
          <w:tcPr>
            <w:tcW w:w="1620" w:type="dxa"/>
            <w:tcBorders>
              <w:top w:val="single" w:sz="4" w:space="0" w:color="000000"/>
              <w:left w:val="single" w:sz="4" w:space="0" w:color="000000"/>
              <w:bottom w:val="single" w:sz="4" w:space="0" w:color="000000"/>
            </w:tcBorders>
            <w:shd w:val="clear" w:color="auto" w:fill="auto"/>
            <w:vAlign w:val="center"/>
          </w:tcPr>
          <w:p w14:paraId="584CB33E" w14:textId="77777777" w:rsidR="00E47D59" w:rsidRDefault="00E47D59" w:rsidP="00985453">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18526A5" w14:textId="77777777" w:rsidR="00E47D59" w:rsidRDefault="00E47D59" w:rsidP="00985453"/>
        </w:tc>
      </w:tr>
      <w:tr w:rsidR="00E47D59" w14:paraId="678C870F"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707632C7" w14:textId="77777777" w:rsidR="00E47D59" w:rsidRPr="009F5A41" w:rsidRDefault="00E47D59" w:rsidP="00985453">
            <w:pPr>
              <w:ind w:left="16"/>
              <w:jc w:val="center"/>
              <w:rPr>
                <w:lang w:val="sr-Cyrl-RS"/>
              </w:rPr>
            </w:pPr>
            <w:r>
              <w:rPr>
                <w:lang w:val="sr-Cyrl-RS"/>
              </w:rPr>
              <w:t>8</w:t>
            </w:r>
          </w:p>
        </w:tc>
        <w:tc>
          <w:tcPr>
            <w:tcW w:w="1365" w:type="dxa"/>
            <w:tcBorders>
              <w:top w:val="single" w:sz="4" w:space="0" w:color="000000"/>
              <w:left w:val="single" w:sz="4" w:space="0" w:color="000000"/>
              <w:bottom w:val="single" w:sz="4" w:space="0" w:color="000000"/>
            </w:tcBorders>
            <w:shd w:val="clear" w:color="auto" w:fill="auto"/>
            <w:vAlign w:val="center"/>
          </w:tcPr>
          <w:p w14:paraId="0186FFA5" w14:textId="77777777" w:rsidR="00E47D59" w:rsidRDefault="00E47D59" w:rsidP="00985453">
            <w:pPr>
              <w:jc w:val="center"/>
              <w:rPr>
                <w:lang w:val="sr-Cyrl-RS"/>
              </w:rPr>
            </w:pPr>
            <w:r w:rsidRPr="007C2219">
              <w:rPr>
                <w:b/>
                <w:lang w:val="sr-Cyrl-RS"/>
              </w:rPr>
              <w:t>Велики Поповац-Стамница(наставници</w:t>
            </w:r>
            <w:r>
              <w:rPr>
                <w:lang w:val="sr-Cyrl-RS"/>
              </w:rPr>
              <w:t>)</w:t>
            </w:r>
          </w:p>
        </w:tc>
        <w:tc>
          <w:tcPr>
            <w:tcW w:w="1080" w:type="dxa"/>
            <w:tcBorders>
              <w:top w:val="single" w:sz="4" w:space="0" w:color="000000"/>
              <w:left w:val="single" w:sz="4" w:space="0" w:color="000000"/>
              <w:bottom w:val="single" w:sz="4" w:space="0" w:color="000000"/>
            </w:tcBorders>
            <w:shd w:val="clear" w:color="auto" w:fill="auto"/>
            <w:vAlign w:val="center"/>
          </w:tcPr>
          <w:p w14:paraId="330A2074" w14:textId="77777777" w:rsidR="00E47D59" w:rsidRDefault="00E47D59" w:rsidP="00985453">
            <w:pPr>
              <w:ind w:left="57"/>
              <w:jc w:val="center"/>
              <w:rPr>
                <w:lang w:val="sr-Cyrl-RS"/>
              </w:rPr>
            </w:pPr>
            <w:r>
              <w:rPr>
                <w:lang w:val="sr-Cyrl-RS"/>
              </w:rPr>
              <w:t>1</w:t>
            </w:r>
          </w:p>
        </w:tc>
        <w:tc>
          <w:tcPr>
            <w:tcW w:w="1950" w:type="dxa"/>
            <w:tcBorders>
              <w:top w:val="single" w:sz="4" w:space="0" w:color="000000"/>
              <w:left w:val="single" w:sz="4" w:space="0" w:color="000000"/>
              <w:bottom w:val="single" w:sz="4" w:space="0" w:color="000000"/>
            </w:tcBorders>
            <w:shd w:val="clear" w:color="auto" w:fill="auto"/>
            <w:vAlign w:val="center"/>
          </w:tcPr>
          <w:p w14:paraId="268BCEDF" w14:textId="77777777" w:rsidR="00E47D59" w:rsidRDefault="00E47D59" w:rsidP="00985453">
            <w:pPr>
              <w:ind w:left="57"/>
            </w:pPr>
          </w:p>
        </w:tc>
        <w:tc>
          <w:tcPr>
            <w:tcW w:w="1980" w:type="dxa"/>
            <w:tcBorders>
              <w:top w:val="single" w:sz="4" w:space="0" w:color="000000"/>
              <w:left w:val="single" w:sz="4" w:space="0" w:color="000000"/>
              <w:bottom w:val="single" w:sz="4" w:space="0" w:color="000000"/>
            </w:tcBorders>
            <w:shd w:val="clear" w:color="auto" w:fill="auto"/>
            <w:vAlign w:val="center"/>
          </w:tcPr>
          <w:p w14:paraId="5C8BFFFD" w14:textId="77777777" w:rsidR="00E47D59" w:rsidRDefault="00E47D59" w:rsidP="00985453">
            <w:pPr>
              <w:ind w:left="57"/>
            </w:pPr>
          </w:p>
        </w:tc>
        <w:tc>
          <w:tcPr>
            <w:tcW w:w="1620" w:type="dxa"/>
            <w:tcBorders>
              <w:top w:val="single" w:sz="4" w:space="0" w:color="000000"/>
              <w:left w:val="single" w:sz="4" w:space="0" w:color="000000"/>
              <w:bottom w:val="single" w:sz="4" w:space="0" w:color="000000"/>
            </w:tcBorders>
            <w:shd w:val="clear" w:color="auto" w:fill="auto"/>
            <w:vAlign w:val="center"/>
          </w:tcPr>
          <w:p w14:paraId="01E86D3C" w14:textId="77777777" w:rsidR="00E47D59" w:rsidRDefault="00E47D59" w:rsidP="00985453">
            <w:pPr>
              <w:ind w:left="57"/>
              <w:rPr>
                <w:b/>
                <w:lang w:val="sr-Cyrl-RS"/>
              </w:rPr>
            </w:pPr>
            <w:r>
              <w:rPr>
                <w:b/>
                <w:lang w:val="sr-Cyrl-RS"/>
              </w:rPr>
              <w:t>За 72 радна дана</w:t>
            </w:r>
          </w:p>
          <w:p w14:paraId="4CB34A32" w14:textId="77777777" w:rsidR="00E47D59" w:rsidRDefault="00E47D59" w:rsidP="00985453">
            <w:pPr>
              <w:ind w:left="57"/>
              <w:rPr>
                <w:b/>
                <w:lang w:val="sr-Cyrl-RS"/>
              </w:rPr>
            </w:pPr>
          </w:p>
          <w:p w14:paraId="1532513C" w14:textId="77777777" w:rsidR="00E47D59" w:rsidRPr="009F5A41" w:rsidRDefault="00E47D59" w:rsidP="00985453">
            <w:pPr>
              <w:rPr>
                <w:b/>
                <w:lang w:val="sr-Cyrl-RS"/>
              </w:rPr>
            </w:pPr>
            <w:r>
              <w:rPr>
                <w:b/>
                <w:lang w:val="sr-Cyrl-RS"/>
              </w:rPr>
              <w:t>(____________)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6338F2" w14:textId="77777777" w:rsidR="00E47D59" w:rsidRDefault="00E47D59" w:rsidP="00985453"/>
        </w:tc>
      </w:tr>
      <w:tr w:rsidR="00E47D59" w14:paraId="206530A5"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152640EA" w14:textId="77777777" w:rsidR="00E47D59" w:rsidRDefault="00E47D59" w:rsidP="00985453">
            <w:pPr>
              <w:ind w:left="16"/>
              <w:jc w:val="center"/>
              <w:rPr>
                <w:lang w:val="sr-Cyrl-RS"/>
              </w:rPr>
            </w:pPr>
            <w:r>
              <w:rPr>
                <w:lang w:val="sr-Cyrl-RS"/>
              </w:rPr>
              <w:t>9.</w:t>
            </w:r>
          </w:p>
        </w:tc>
        <w:tc>
          <w:tcPr>
            <w:tcW w:w="1365" w:type="dxa"/>
            <w:tcBorders>
              <w:top w:val="single" w:sz="4" w:space="0" w:color="000000"/>
              <w:left w:val="single" w:sz="4" w:space="0" w:color="000000"/>
              <w:bottom w:val="single" w:sz="4" w:space="0" w:color="000000"/>
            </w:tcBorders>
            <w:shd w:val="clear" w:color="auto" w:fill="auto"/>
            <w:vAlign w:val="center"/>
          </w:tcPr>
          <w:p w14:paraId="77950B26" w14:textId="77777777" w:rsidR="00E47D59" w:rsidRPr="007C2219" w:rsidRDefault="00E47D59" w:rsidP="00985453">
            <w:pPr>
              <w:jc w:val="center"/>
              <w:rPr>
                <w:b/>
                <w:lang w:val="sr-Cyrl-RS"/>
              </w:rPr>
            </w:pPr>
            <w:r>
              <w:rPr>
                <w:b/>
                <w:lang w:val="sr-Cyrl-RS"/>
              </w:rPr>
              <w:t>Петровац-Стамница</w:t>
            </w:r>
          </w:p>
        </w:tc>
        <w:tc>
          <w:tcPr>
            <w:tcW w:w="1080" w:type="dxa"/>
            <w:tcBorders>
              <w:top w:val="single" w:sz="4" w:space="0" w:color="000000"/>
              <w:left w:val="single" w:sz="4" w:space="0" w:color="000000"/>
              <w:bottom w:val="single" w:sz="4" w:space="0" w:color="000000"/>
            </w:tcBorders>
            <w:shd w:val="clear" w:color="auto" w:fill="auto"/>
            <w:vAlign w:val="center"/>
          </w:tcPr>
          <w:p w14:paraId="2BD9AF36" w14:textId="77777777" w:rsidR="00E47D59" w:rsidRDefault="00E47D59" w:rsidP="00985453">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14:paraId="59236E93" w14:textId="77777777" w:rsidR="00E47D59" w:rsidRDefault="00E47D59" w:rsidP="00985453">
            <w:pPr>
              <w:ind w:left="57"/>
            </w:pPr>
          </w:p>
        </w:tc>
        <w:tc>
          <w:tcPr>
            <w:tcW w:w="1980" w:type="dxa"/>
            <w:tcBorders>
              <w:top w:val="single" w:sz="4" w:space="0" w:color="000000"/>
              <w:left w:val="single" w:sz="4" w:space="0" w:color="000000"/>
              <w:bottom w:val="single" w:sz="4" w:space="0" w:color="000000"/>
            </w:tcBorders>
            <w:shd w:val="clear" w:color="auto" w:fill="auto"/>
            <w:vAlign w:val="center"/>
          </w:tcPr>
          <w:p w14:paraId="3F55F3F0" w14:textId="77777777" w:rsidR="00E47D59" w:rsidRDefault="00E47D59" w:rsidP="00985453">
            <w:pPr>
              <w:ind w:left="57"/>
            </w:pPr>
          </w:p>
        </w:tc>
        <w:tc>
          <w:tcPr>
            <w:tcW w:w="1620" w:type="dxa"/>
            <w:tcBorders>
              <w:top w:val="single" w:sz="4" w:space="0" w:color="000000"/>
              <w:left w:val="single" w:sz="4" w:space="0" w:color="000000"/>
              <w:bottom w:val="single" w:sz="4" w:space="0" w:color="000000"/>
            </w:tcBorders>
            <w:shd w:val="clear" w:color="auto" w:fill="auto"/>
            <w:vAlign w:val="center"/>
          </w:tcPr>
          <w:p w14:paraId="5F7C25A9" w14:textId="77777777" w:rsidR="00E47D59" w:rsidRDefault="00E47D59" w:rsidP="00985453">
            <w:pPr>
              <w:ind w:left="57"/>
              <w:rPr>
                <w:b/>
                <w:lang w:val="sr-Cyrl-RS"/>
              </w:rPr>
            </w:pPr>
            <w:r>
              <w:rPr>
                <w:b/>
                <w:lang w:val="sr-Cyrl-RS"/>
              </w:rPr>
              <w:t>За 100 радних дана</w:t>
            </w:r>
          </w:p>
          <w:p w14:paraId="38BDBEAE" w14:textId="77777777" w:rsidR="00E47D59" w:rsidRDefault="00E47D59" w:rsidP="00985453">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248DD78" w14:textId="77777777" w:rsidR="00E47D59" w:rsidRDefault="00E47D59" w:rsidP="00985453"/>
        </w:tc>
      </w:tr>
      <w:tr w:rsidR="00E47D59" w14:paraId="3B3713CA"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6507DA91" w14:textId="77777777" w:rsidR="00E47D59" w:rsidRDefault="00E47D59" w:rsidP="00985453">
            <w:pPr>
              <w:ind w:left="16"/>
              <w:jc w:val="center"/>
              <w:rPr>
                <w:lang w:val="sr-Cyrl-RS"/>
              </w:rPr>
            </w:pPr>
            <w:r>
              <w:rPr>
                <w:lang w:val="sr-Cyrl-RS"/>
              </w:rPr>
              <w:t>10</w:t>
            </w:r>
          </w:p>
        </w:tc>
        <w:tc>
          <w:tcPr>
            <w:tcW w:w="1365" w:type="dxa"/>
            <w:tcBorders>
              <w:top w:val="single" w:sz="4" w:space="0" w:color="000000"/>
              <w:left w:val="single" w:sz="4" w:space="0" w:color="000000"/>
              <w:bottom w:val="single" w:sz="4" w:space="0" w:color="000000"/>
            </w:tcBorders>
            <w:shd w:val="clear" w:color="auto" w:fill="auto"/>
            <w:vAlign w:val="center"/>
          </w:tcPr>
          <w:p w14:paraId="7958E874" w14:textId="77777777" w:rsidR="00E47D59" w:rsidRDefault="00E47D59" w:rsidP="00985453">
            <w:pPr>
              <w:jc w:val="center"/>
              <w:rPr>
                <w:b/>
                <w:lang w:val="sr-Cyrl-RS"/>
              </w:rPr>
            </w:pPr>
            <w:r>
              <w:rPr>
                <w:b/>
                <w:lang w:val="sr-Cyrl-RS"/>
              </w:rPr>
              <w:t>Петровац-Мелница</w:t>
            </w:r>
          </w:p>
        </w:tc>
        <w:tc>
          <w:tcPr>
            <w:tcW w:w="1080" w:type="dxa"/>
            <w:tcBorders>
              <w:top w:val="single" w:sz="4" w:space="0" w:color="000000"/>
              <w:left w:val="single" w:sz="4" w:space="0" w:color="000000"/>
              <w:bottom w:val="single" w:sz="4" w:space="0" w:color="000000"/>
            </w:tcBorders>
            <w:shd w:val="clear" w:color="auto" w:fill="auto"/>
            <w:vAlign w:val="center"/>
          </w:tcPr>
          <w:p w14:paraId="62DAAD0A" w14:textId="77777777" w:rsidR="00E47D59" w:rsidRDefault="00E47D59" w:rsidP="00985453">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14:paraId="7A2D3F0E" w14:textId="77777777" w:rsidR="00E47D59" w:rsidRDefault="00E47D59" w:rsidP="00985453">
            <w:pPr>
              <w:ind w:left="57"/>
            </w:pPr>
          </w:p>
        </w:tc>
        <w:tc>
          <w:tcPr>
            <w:tcW w:w="1980" w:type="dxa"/>
            <w:tcBorders>
              <w:top w:val="single" w:sz="4" w:space="0" w:color="000000"/>
              <w:left w:val="single" w:sz="4" w:space="0" w:color="000000"/>
              <w:bottom w:val="single" w:sz="4" w:space="0" w:color="000000"/>
            </w:tcBorders>
            <w:shd w:val="clear" w:color="auto" w:fill="auto"/>
            <w:vAlign w:val="center"/>
          </w:tcPr>
          <w:p w14:paraId="34D907E7" w14:textId="77777777" w:rsidR="00E47D59" w:rsidRDefault="00E47D59" w:rsidP="00985453">
            <w:pPr>
              <w:ind w:left="57"/>
            </w:pPr>
          </w:p>
        </w:tc>
        <w:tc>
          <w:tcPr>
            <w:tcW w:w="1620" w:type="dxa"/>
            <w:tcBorders>
              <w:top w:val="single" w:sz="4" w:space="0" w:color="000000"/>
              <w:left w:val="single" w:sz="4" w:space="0" w:color="000000"/>
              <w:bottom w:val="single" w:sz="4" w:space="0" w:color="000000"/>
            </w:tcBorders>
            <w:shd w:val="clear" w:color="auto" w:fill="auto"/>
            <w:vAlign w:val="center"/>
          </w:tcPr>
          <w:p w14:paraId="051100AA" w14:textId="77777777" w:rsidR="00E47D59" w:rsidRDefault="00E47D59" w:rsidP="00985453">
            <w:pPr>
              <w:ind w:left="57"/>
              <w:rPr>
                <w:b/>
                <w:lang w:val="sr-Cyrl-RS"/>
              </w:rPr>
            </w:pPr>
            <w:r>
              <w:rPr>
                <w:b/>
                <w:lang w:val="sr-Cyrl-RS"/>
              </w:rPr>
              <w:t>За 100 радних дана</w:t>
            </w:r>
          </w:p>
          <w:p w14:paraId="785321C4" w14:textId="77777777" w:rsidR="00E47D59" w:rsidRDefault="00E47D59" w:rsidP="00985453">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8435C42" w14:textId="77777777" w:rsidR="00E47D59" w:rsidRDefault="00E47D59" w:rsidP="00985453"/>
        </w:tc>
      </w:tr>
      <w:tr w:rsidR="00E47D59" w14:paraId="14FD804F" w14:textId="77777777" w:rsidTr="00985453">
        <w:tblPrEx>
          <w:tblCellMar>
            <w:top w:w="0" w:type="dxa"/>
            <w:left w:w="0" w:type="dxa"/>
            <w:right w:w="0" w:type="dxa"/>
          </w:tblCellMar>
        </w:tblPrEx>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14:paraId="4AFEEE9E" w14:textId="77777777" w:rsidR="00E47D59" w:rsidRDefault="00E47D59" w:rsidP="00985453">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14:paraId="3115131E" w14:textId="77777777" w:rsidR="00E47D59" w:rsidRDefault="00E47D59" w:rsidP="00985453">
            <w:pPr>
              <w:jc w:val="cente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14:paraId="108B3912" w14:textId="77777777" w:rsidR="00E47D59" w:rsidRDefault="00E47D59" w:rsidP="00985453">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14:paraId="481932D8" w14:textId="77777777" w:rsidR="00E47D59" w:rsidRDefault="00E47D59" w:rsidP="00985453">
            <w:pPr>
              <w:ind w:left="57"/>
            </w:pPr>
          </w:p>
        </w:tc>
        <w:tc>
          <w:tcPr>
            <w:tcW w:w="1980" w:type="dxa"/>
            <w:tcBorders>
              <w:top w:val="single" w:sz="4" w:space="0" w:color="000000"/>
              <w:left w:val="single" w:sz="4" w:space="0" w:color="000000"/>
              <w:bottom w:val="single" w:sz="4" w:space="0" w:color="000000"/>
            </w:tcBorders>
            <w:shd w:val="clear" w:color="auto" w:fill="auto"/>
            <w:vAlign w:val="center"/>
          </w:tcPr>
          <w:p w14:paraId="09C05101" w14:textId="77777777" w:rsidR="00E47D59" w:rsidRDefault="00E47D59" w:rsidP="00985453">
            <w:pPr>
              <w:ind w:left="57"/>
            </w:pPr>
          </w:p>
        </w:tc>
        <w:tc>
          <w:tcPr>
            <w:tcW w:w="1620" w:type="dxa"/>
            <w:tcBorders>
              <w:top w:val="single" w:sz="4" w:space="0" w:color="000000"/>
              <w:left w:val="single" w:sz="4" w:space="0" w:color="000000"/>
              <w:bottom w:val="single" w:sz="4" w:space="0" w:color="000000"/>
            </w:tcBorders>
            <w:shd w:val="clear" w:color="auto" w:fill="auto"/>
            <w:vAlign w:val="center"/>
          </w:tcPr>
          <w:p w14:paraId="31F0403F" w14:textId="77777777" w:rsidR="00E47D59" w:rsidRDefault="00E47D59" w:rsidP="00985453">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8DD8328" w14:textId="77777777" w:rsidR="00E47D59" w:rsidRDefault="00E47D59" w:rsidP="00985453"/>
        </w:tc>
      </w:tr>
      <w:tr w:rsidR="00E47D59" w14:paraId="4F323BBB" w14:textId="77777777" w:rsidTr="00985453">
        <w:trPr>
          <w:trHeight w:val="847"/>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1"/>
              <w:gridCol w:w="1848"/>
              <w:gridCol w:w="565"/>
              <w:gridCol w:w="1455"/>
            </w:tblGrid>
            <w:tr w:rsidR="00E47D59" w:rsidRPr="00F3770C" w14:paraId="259EE4D0" w14:textId="77777777" w:rsidTr="00985453">
              <w:tc>
                <w:tcPr>
                  <w:tcW w:w="3518" w:type="dxa"/>
                </w:tcPr>
                <w:p w14:paraId="5C3003F4" w14:textId="77777777" w:rsidR="00E47D59" w:rsidRPr="00662C8D" w:rsidRDefault="00E47D59" w:rsidP="00985453">
                  <w:pPr>
                    <w:rPr>
                      <w:rFonts w:eastAsia="Calibri"/>
                      <w:sz w:val="20"/>
                      <w:szCs w:val="20"/>
                      <w:lang w:val="sr-Cyrl-RS"/>
                    </w:rPr>
                  </w:pPr>
                </w:p>
                <w:p w14:paraId="39149CC1" w14:textId="77777777" w:rsidR="00E47D59" w:rsidRPr="00F3770C" w:rsidRDefault="00E47D59" w:rsidP="00985453">
                  <w:pPr>
                    <w:rPr>
                      <w:rFonts w:eastAsia="Calibri"/>
                      <w:sz w:val="20"/>
                      <w:szCs w:val="20"/>
                    </w:rPr>
                  </w:pPr>
                </w:p>
              </w:tc>
              <w:tc>
                <w:tcPr>
                  <w:tcW w:w="1080" w:type="dxa"/>
                </w:tcPr>
                <w:p w14:paraId="66CE6E47" w14:textId="77777777" w:rsidR="00E47D59" w:rsidRPr="00454E58" w:rsidRDefault="00E47D59" w:rsidP="00985453">
                  <w:pPr>
                    <w:spacing w:after="200" w:line="276" w:lineRule="auto"/>
                    <w:ind w:right="-540"/>
                    <w:rPr>
                      <w:sz w:val="20"/>
                      <w:szCs w:val="20"/>
                      <w:lang w:val="sr-Cyrl-RS"/>
                    </w:rPr>
                  </w:pPr>
                  <w:r>
                    <w:rPr>
                      <w:sz w:val="20"/>
                      <w:szCs w:val="20"/>
                      <w:lang w:val="sr-Cyrl-RS"/>
                    </w:rPr>
                    <w:t xml:space="preserve">     </w:t>
                  </w:r>
                </w:p>
              </w:tc>
              <w:tc>
                <w:tcPr>
                  <w:tcW w:w="1180" w:type="dxa"/>
                  <w:gridSpan w:val="2"/>
                </w:tcPr>
                <w:p w14:paraId="186995A7" w14:textId="77777777" w:rsidR="00E47D59" w:rsidRPr="00F3770C" w:rsidRDefault="00E47D59" w:rsidP="00985453">
                  <w:pPr>
                    <w:ind w:right="-540"/>
                    <w:rPr>
                      <w:rFonts w:eastAsia="Times New Roman"/>
                      <w:b/>
                      <w:sz w:val="20"/>
                      <w:szCs w:val="20"/>
                    </w:rPr>
                  </w:pPr>
                </w:p>
              </w:tc>
            </w:tr>
            <w:tr w:rsidR="00E47D59" w:rsidRPr="00F3770C" w14:paraId="03861C7A" w14:textId="77777777" w:rsidTr="00985453">
              <w:trPr>
                <w:gridAfter w:val="1"/>
                <w:wAfter w:w="850" w:type="dxa"/>
              </w:trPr>
              <w:tc>
                <w:tcPr>
                  <w:tcW w:w="4928" w:type="dxa"/>
                  <w:gridSpan w:val="3"/>
                </w:tcPr>
                <w:p w14:paraId="5BBCBB6E" w14:textId="77777777" w:rsidR="00E47D59" w:rsidRDefault="00E47D59" w:rsidP="00985453">
                  <w:pPr>
                    <w:ind w:right="-540"/>
                    <w:rPr>
                      <w:rFonts w:eastAsia="Times New Roman"/>
                      <w:sz w:val="20"/>
                      <w:szCs w:val="20"/>
                      <w:lang w:val="sr-Cyrl-RS"/>
                    </w:rPr>
                  </w:pPr>
                </w:p>
                <w:p w14:paraId="5542943A" w14:textId="77777777" w:rsidR="007310B5" w:rsidRDefault="00E47D59" w:rsidP="00985453">
                  <w:pPr>
                    <w:ind w:right="-540"/>
                    <w:rPr>
                      <w:rFonts w:eastAsia="Times New Roman"/>
                      <w:sz w:val="20"/>
                      <w:szCs w:val="20"/>
                      <w:lang w:val="sr-Cyrl-RS"/>
                    </w:rPr>
                  </w:pPr>
                  <w:r w:rsidRPr="00F3770C">
                    <w:rPr>
                      <w:rFonts w:eastAsia="Calibri"/>
                      <w:sz w:val="20"/>
                      <w:szCs w:val="20"/>
                    </w:rPr>
                    <w:t>УКУПНО ЗА ЈЕДАН МЕСЕЦ</w:t>
                  </w:r>
                  <w:r>
                    <w:rPr>
                      <w:rFonts w:eastAsia="Calibri"/>
                      <w:sz w:val="20"/>
                      <w:szCs w:val="20"/>
                      <w:lang w:val="sr-Cyrl-RS"/>
                    </w:rPr>
                    <w:t xml:space="preserve"> ЗА 60 УЧЕНКА:</w:t>
                  </w:r>
                </w:p>
                <w:p w14:paraId="326FD57B" w14:textId="1AEB705E" w:rsidR="00E47D59" w:rsidRPr="007310B5" w:rsidRDefault="00E47D59" w:rsidP="00985453">
                  <w:pPr>
                    <w:ind w:right="-540"/>
                    <w:rPr>
                      <w:rFonts w:eastAsia="Times New Roman"/>
                      <w:sz w:val="20"/>
                      <w:szCs w:val="20"/>
                      <w:lang w:val="sr-Cyrl-RS"/>
                    </w:rPr>
                  </w:pPr>
                  <w:r w:rsidRPr="00F3770C">
                    <w:rPr>
                      <w:rFonts w:eastAsia="Times New Roman"/>
                      <w:sz w:val="20"/>
                      <w:szCs w:val="20"/>
                    </w:rPr>
                    <w:t>УКУПНА ЦЕНА СА ПДВ-ом</w:t>
                  </w:r>
                </w:p>
                <w:p w14:paraId="075DA196" w14:textId="77777777" w:rsidR="00E47D59" w:rsidRDefault="00E47D59" w:rsidP="00985453">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14:paraId="2E0C9910" w14:textId="4B7A5E94" w:rsidR="00E47D59" w:rsidRDefault="00E47D59" w:rsidP="00985453">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УЧЕНИКЕ ЗА  ШКОЛСКУ ГОД. (за 180 НАСТАВНИХ ДАНА-9 месеци)</w:t>
                  </w:r>
                  <w:r w:rsidRPr="00F3770C">
                    <w:rPr>
                      <w:rFonts w:eastAsia="Times New Roman"/>
                      <w:sz w:val="20"/>
                      <w:szCs w:val="20"/>
                    </w:rPr>
                    <w:t>:</w:t>
                  </w:r>
                </w:p>
                <w:p w14:paraId="3458BCAD" w14:textId="77777777" w:rsidR="00E47D59" w:rsidRPr="00F3770C" w:rsidRDefault="00E47D59" w:rsidP="00985453">
                  <w:pPr>
                    <w:ind w:right="-540"/>
                    <w:rPr>
                      <w:rFonts w:eastAsia="Times New Roman"/>
                      <w:sz w:val="20"/>
                      <w:szCs w:val="20"/>
                    </w:rPr>
                  </w:pPr>
                  <w:r w:rsidRPr="00F3770C">
                    <w:rPr>
                      <w:rFonts w:eastAsia="Times New Roman"/>
                      <w:sz w:val="20"/>
                      <w:szCs w:val="20"/>
                    </w:rPr>
                    <w:t>УКУПНА ЦЕНА СА ПДВ-ом</w:t>
                  </w:r>
                </w:p>
                <w:p w14:paraId="4B4B05B9" w14:textId="77777777" w:rsidR="00E47D59" w:rsidRDefault="00E47D59" w:rsidP="00985453">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14:paraId="182771FC" w14:textId="77777777" w:rsidR="00E47D59" w:rsidRPr="00662C8D" w:rsidRDefault="00E47D59" w:rsidP="00985453">
                  <w:pPr>
                    <w:ind w:right="-540"/>
                    <w:rPr>
                      <w:rFonts w:eastAsia="Times New Roman"/>
                      <w:sz w:val="20"/>
                      <w:szCs w:val="20"/>
                      <w:lang w:val="sr-Cyrl-RS"/>
                    </w:rPr>
                  </w:pPr>
                </w:p>
                <w:p w14:paraId="3C4C99FA" w14:textId="77777777" w:rsidR="00E47D59" w:rsidRDefault="00E47D59" w:rsidP="00985453">
                  <w:pPr>
                    <w:ind w:right="-540"/>
                    <w:rPr>
                      <w:rFonts w:eastAsia="Calibri"/>
                      <w:sz w:val="20"/>
                      <w:szCs w:val="20"/>
                      <w:lang w:val="sr-Cyrl-RS"/>
                    </w:rPr>
                  </w:pPr>
                  <w:r>
                    <w:rPr>
                      <w:rFonts w:eastAsia="Calibri"/>
                      <w:sz w:val="20"/>
                      <w:szCs w:val="20"/>
                    </w:rPr>
                    <w:t>УКУП</w:t>
                  </w:r>
                  <w:r>
                    <w:rPr>
                      <w:rFonts w:eastAsia="Calibri"/>
                      <w:sz w:val="20"/>
                      <w:szCs w:val="20"/>
                      <w:lang w:val="sr-Cyrl-RS"/>
                    </w:rPr>
                    <w:t>НО ПО ДАНУ ЗА НАСТАВНКЕ-ЗА СВЕ РЕЛАЦИЈЕ</w:t>
                  </w:r>
                </w:p>
                <w:p w14:paraId="61BBE5F5" w14:textId="77777777" w:rsidR="00E47D59" w:rsidRPr="00F3770C" w:rsidRDefault="00E47D59" w:rsidP="00985453">
                  <w:pPr>
                    <w:ind w:right="-540"/>
                    <w:rPr>
                      <w:rFonts w:eastAsia="Times New Roman"/>
                      <w:sz w:val="20"/>
                      <w:szCs w:val="20"/>
                    </w:rPr>
                  </w:pPr>
                  <w:r w:rsidRPr="00F3770C">
                    <w:rPr>
                      <w:rFonts w:eastAsia="Times New Roman"/>
                      <w:sz w:val="20"/>
                      <w:szCs w:val="20"/>
                    </w:rPr>
                    <w:t>УКУПНА ЦЕНА СА ПДВ-ом</w:t>
                  </w:r>
                </w:p>
                <w:p w14:paraId="0071D58E" w14:textId="77777777" w:rsidR="00E47D59" w:rsidRDefault="00E47D59" w:rsidP="00985453">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14:paraId="2A1A4B21" w14:textId="77777777" w:rsidR="00E47D59" w:rsidRPr="00662C8D" w:rsidRDefault="00E47D59" w:rsidP="00985453">
                  <w:pPr>
                    <w:ind w:right="-540"/>
                    <w:rPr>
                      <w:rFonts w:eastAsia="Calibri"/>
                      <w:sz w:val="20"/>
                      <w:szCs w:val="20"/>
                      <w:lang w:val="sr-Cyrl-RS"/>
                    </w:rPr>
                  </w:pPr>
                </w:p>
                <w:p w14:paraId="4DC100B6" w14:textId="77777777" w:rsidR="00E47D59" w:rsidRDefault="00E47D59" w:rsidP="00985453">
                  <w:pPr>
                    <w:ind w:right="-540"/>
                    <w:rPr>
                      <w:rFonts w:eastAsia="Times New Roman"/>
                      <w:sz w:val="20"/>
                      <w:szCs w:val="20"/>
                      <w:lang w:val="sr-Cyrl-RS"/>
                    </w:rPr>
                  </w:pPr>
                  <w:r w:rsidRPr="00F3770C">
                    <w:rPr>
                      <w:rFonts w:eastAsia="Times New Roman"/>
                      <w:sz w:val="20"/>
                      <w:szCs w:val="20"/>
                    </w:rPr>
                    <w:lastRenderedPageBreak/>
                    <w:t xml:space="preserve">ЗА УГОВОРЕНИ ПЕРИОД: </w:t>
                  </w:r>
                  <w:r>
                    <w:rPr>
                      <w:rFonts w:eastAsia="Times New Roman"/>
                      <w:sz w:val="20"/>
                      <w:szCs w:val="20"/>
                    </w:rPr>
                    <w:t>ЗА</w:t>
                  </w:r>
                  <w:r>
                    <w:rPr>
                      <w:rFonts w:eastAsia="Times New Roman"/>
                      <w:sz w:val="20"/>
                      <w:szCs w:val="20"/>
                      <w:lang w:val="sr-Cyrl-RS"/>
                    </w:rPr>
                    <w:t xml:space="preserve"> НАВЕДЕНИ БР:РАДНИХ ДАНА НА СВИМ РЕЛАЦИЈАМА</w:t>
                  </w:r>
                  <w:r w:rsidRPr="00F3770C">
                    <w:rPr>
                      <w:rFonts w:eastAsia="Times New Roman"/>
                      <w:sz w:val="20"/>
                      <w:szCs w:val="20"/>
                    </w:rPr>
                    <w:t>:</w:t>
                  </w:r>
                </w:p>
                <w:p w14:paraId="004535A7" w14:textId="77777777" w:rsidR="00E47D59" w:rsidRPr="00BE0054" w:rsidRDefault="00E47D59" w:rsidP="00985453">
                  <w:pPr>
                    <w:ind w:right="-540"/>
                    <w:rPr>
                      <w:rFonts w:eastAsia="Times New Roman"/>
                      <w:sz w:val="20"/>
                      <w:szCs w:val="20"/>
                      <w:lang w:val="sr-Cyrl-RS"/>
                    </w:rPr>
                  </w:pPr>
                </w:p>
                <w:p w14:paraId="7A27F645" w14:textId="77777777" w:rsidR="00E47D59" w:rsidRPr="00F3770C" w:rsidRDefault="00E47D59" w:rsidP="00985453">
                  <w:pPr>
                    <w:ind w:right="-540"/>
                    <w:rPr>
                      <w:rFonts w:eastAsia="Times New Roman"/>
                      <w:sz w:val="20"/>
                      <w:szCs w:val="20"/>
                    </w:rPr>
                  </w:pPr>
                  <w:r w:rsidRPr="00F3770C">
                    <w:rPr>
                      <w:rFonts w:eastAsia="Times New Roman"/>
                      <w:sz w:val="20"/>
                      <w:szCs w:val="20"/>
                    </w:rPr>
                    <w:t>УКУПНА ЦЕНА СА ПДВ-ом</w:t>
                  </w:r>
                </w:p>
                <w:p w14:paraId="6A1FB485" w14:textId="77777777" w:rsidR="00E47D59" w:rsidRDefault="00E47D59" w:rsidP="00985453">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14:paraId="5D5D397E" w14:textId="77777777" w:rsidR="00E47D59" w:rsidRPr="00F3770C" w:rsidRDefault="00E47D59" w:rsidP="00985453">
                  <w:pPr>
                    <w:ind w:right="-540"/>
                    <w:rPr>
                      <w:rFonts w:eastAsia="Times New Roman"/>
                      <w:sz w:val="20"/>
                      <w:szCs w:val="20"/>
                    </w:rPr>
                  </w:pPr>
                </w:p>
                <w:p w14:paraId="5C73752F" w14:textId="77777777" w:rsidR="00E47D59" w:rsidRPr="00662C8D" w:rsidRDefault="00E47D59" w:rsidP="00985453">
                  <w:pPr>
                    <w:ind w:right="-540"/>
                    <w:rPr>
                      <w:rFonts w:eastAsia="Times New Roman"/>
                      <w:sz w:val="20"/>
                      <w:szCs w:val="20"/>
                      <w:lang w:val="sr-Cyrl-RS"/>
                    </w:rPr>
                  </w:pPr>
                </w:p>
                <w:p w14:paraId="546360D1" w14:textId="77777777" w:rsidR="00E47D59" w:rsidRPr="00F3770C" w:rsidRDefault="00E47D59" w:rsidP="00985453">
                  <w:pPr>
                    <w:ind w:right="-540"/>
                    <w:rPr>
                      <w:rFonts w:eastAsia="Times New Roman"/>
                      <w:sz w:val="20"/>
                      <w:szCs w:val="20"/>
                    </w:rPr>
                  </w:pPr>
                </w:p>
              </w:tc>
            </w:tr>
            <w:tr w:rsidR="00E47D59" w:rsidRPr="00F3770C" w14:paraId="2C92DD95" w14:textId="77777777" w:rsidTr="00985453">
              <w:trPr>
                <w:gridAfter w:val="1"/>
                <w:wAfter w:w="850" w:type="dxa"/>
              </w:trPr>
              <w:tc>
                <w:tcPr>
                  <w:tcW w:w="4928" w:type="dxa"/>
                  <w:gridSpan w:val="3"/>
                </w:tcPr>
                <w:p w14:paraId="4AFF3309" w14:textId="77777777" w:rsidR="00E47D59" w:rsidRPr="00F3770C" w:rsidRDefault="00E47D59" w:rsidP="00985453">
                  <w:pPr>
                    <w:ind w:right="-540"/>
                    <w:rPr>
                      <w:rFonts w:eastAsia="Times New Roman"/>
                      <w:sz w:val="20"/>
                      <w:szCs w:val="20"/>
                    </w:rPr>
                  </w:pPr>
                  <w:r w:rsidRPr="00F3770C">
                    <w:rPr>
                      <w:rFonts w:eastAsia="Times New Roman"/>
                      <w:sz w:val="20"/>
                      <w:szCs w:val="20"/>
                    </w:rPr>
                    <w:lastRenderedPageBreak/>
                    <w:t>УКУПНА ЦЕНА СА ПДВ-ом</w:t>
                  </w:r>
                </w:p>
                <w:p w14:paraId="3B55BB62" w14:textId="77777777" w:rsidR="00E47D59" w:rsidRDefault="00E47D59" w:rsidP="00985453">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ШКОЛСКУ 2020/2021.ГОД(ЗА УЧЕНИКЕ И НАСТАВНИКЕ):</w:t>
                  </w:r>
                </w:p>
                <w:p w14:paraId="630273A5" w14:textId="77777777" w:rsidR="00E47D59" w:rsidRDefault="00E47D59" w:rsidP="00985453">
                  <w:pPr>
                    <w:ind w:right="-540"/>
                    <w:rPr>
                      <w:rFonts w:eastAsia="Times New Roman"/>
                      <w:sz w:val="20"/>
                      <w:szCs w:val="20"/>
                      <w:lang w:val="sr-Cyrl-RS"/>
                    </w:rPr>
                  </w:pPr>
                </w:p>
                <w:p w14:paraId="701B60FF" w14:textId="77777777" w:rsidR="00E47D59" w:rsidRDefault="00E47D59" w:rsidP="00985453">
                  <w:pPr>
                    <w:ind w:right="-540"/>
                    <w:rPr>
                      <w:rFonts w:eastAsia="Times New Roman"/>
                      <w:sz w:val="20"/>
                      <w:szCs w:val="20"/>
                      <w:lang w:val="sr-Cyrl-RS"/>
                    </w:rPr>
                  </w:pPr>
                </w:p>
                <w:p w14:paraId="65651198" w14:textId="77777777" w:rsidR="00E47D59" w:rsidRDefault="00E47D59" w:rsidP="00985453">
                  <w:pPr>
                    <w:ind w:right="-540"/>
                    <w:rPr>
                      <w:rFonts w:eastAsia="Times New Roman"/>
                      <w:sz w:val="20"/>
                      <w:szCs w:val="20"/>
                      <w:lang w:val="sr-Cyrl-RS"/>
                    </w:rPr>
                  </w:pPr>
                </w:p>
                <w:p w14:paraId="7160D0E7" w14:textId="77777777" w:rsidR="00E47D59" w:rsidRPr="00BE0054" w:rsidRDefault="00E47D59" w:rsidP="00985453">
                  <w:pPr>
                    <w:ind w:right="-540"/>
                    <w:rPr>
                      <w:rFonts w:eastAsia="Times New Roman"/>
                      <w:sz w:val="20"/>
                      <w:szCs w:val="20"/>
                      <w:lang w:val="sr-Cyrl-RS"/>
                    </w:rPr>
                  </w:pPr>
                  <w:r>
                    <w:rPr>
                      <w:rFonts w:eastAsia="Times New Roman"/>
                      <w:sz w:val="20"/>
                      <w:szCs w:val="20"/>
                    </w:rPr>
                    <w:t xml:space="preserve">УКУПНА ЦЕНА </w:t>
                  </w:r>
                  <w:r>
                    <w:rPr>
                      <w:rFonts w:eastAsia="Times New Roman"/>
                      <w:sz w:val="20"/>
                      <w:szCs w:val="20"/>
                      <w:lang w:val="sr-Cyrl-RS"/>
                    </w:rPr>
                    <w:t xml:space="preserve">БЕЗ </w:t>
                  </w:r>
                  <w:r>
                    <w:rPr>
                      <w:rFonts w:eastAsia="Times New Roman"/>
                      <w:sz w:val="20"/>
                      <w:szCs w:val="20"/>
                    </w:rPr>
                    <w:t xml:space="preserve"> ПДВ-</w:t>
                  </w:r>
                  <w:r>
                    <w:rPr>
                      <w:rFonts w:eastAsia="Times New Roman"/>
                      <w:sz w:val="20"/>
                      <w:szCs w:val="20"/>
                      <w:lang w:val="sr-Cyrl-RS"/>
                    </w:rPr>
                    <w:t>а</w:t>
                  </w:r>
                </w:p>
                <w:p w14:paraId="2A3B2235" w14:textId="77777777" w:rsidR="00E47D59" w:rsidRDefault="00E47D59" w:rsidP="00985453">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ШКОЛСКУ 2020/2021.ГОД(ЗА ЧЕНИКЕ И НАСТАВНИКЕ):</w:t>
                  </w:r>
                </w:p>
                <w:p w14:paraId="399C217F" w14:textId="77777777" w:rsidR="00E47D59" w:rsidRDefault="00E47D59" w:rsidP="00985453">
                  <w:pPr>
                    <w:ind w:right="-540"/>
                    <w:rPr>
                      <w:rFonts w:eastAsia="Times New Roman"/>
                      <w:sz w:val="20"/>
                      <w:szCs w:val="20"/>
                      <w:lang w:val="sr-Cyrl-RS"/>
                    </w:rPr>
                  </w:pPr>
                </w:p>
                <w:p w14:paraId="35BDE199" w14:textId="77777777" w:rsidR="00E47D59" w:rsidRDefault="00E47D59" w:rsidP="00985453">
                  <w:pPr>
                    <w:ind w:right="-540"/>
                    <w:rPr>
                      <w:rFonts w:eastAsia="Times New Roman"/>
                      <w:sz w:val="20"/>
                      <w:szCs w:val="20"/>
                      <w:lang w:val="sr-Cyrl-RS"/>
                    </w:rPr>
                  </w:pPr>
                </w:p>
                <w:p w14:paraId="508489F7" w14:textId="77777777" w:rsidR="00E47D59" w:rsidRPr="00F3770C" w:rsidRDefault="00E47D59" w:rsidP="00985453">
                  <w:pPr>
                    <w:ind w:right="-540"/>
                    <w:rPr>
                      <w:rFonts w:eastAsia="Times New Roman"/>
                      <w:sz w:val="20"/>
                      <w:szCs w:val="20"/>
                    </w:rPr>
                  </w:pPr>
                  <w:r w:rsidRPr="00F3770C">
                    <w:rPr>
                      <w:rFonts w:eastAsia="Times New Roman"/>
                      <w:sz w:val="20"/>
                      <w:szCs w:val="20"/>
                    </w:rPr>
                    <w:t>:</w:t>
                  </w:r>
                </w:p>
                <w:p w14:paraId="07ADAB57" w14:textId="77777777" w:rsidR="00E47D59" w:rsidRPr="00F3770C" w:rsidRDefault="00E47D59" w:rsidP="00985453">
                  <w:pPr>
                    <w:ind w:right="-540"/>
                    <w:rPr>
                      <w:rFonts w:eastAsia="Times New Roman"/>
                      <w:sz w:val="20"/>
                      <w:szCs w:val="20"/>
                    </w:rPr>
                  </w:pPr>
                </w:p>
              </w:tc>
            </w:tr>
            <w:tr w:rsidR="00E47D59" w:rsidRPr="00F3770C" w14:paraId="7BCA202C" w14:textId="77777777" w:rsidTr="00985453">
              <w:trPr>
                <w:gridAfter w:val="1"/>
                <w:wAfter w:w="850" w:type="dxa"/>
              </w:trPr>
              <w:tc>
                <w:tcPr>
                  <w:tcW w:w="4928" w:type="dxa"/>
                  <w:gridSpan w:val="3"/>
                </w:tcPr>
                <w:p w14:paraId="194B60B8" w14:textId="77777777" w:rsidR="00E47D59" w:rsidRPr="00BE0054" w:rsidRDefault="00E47D59" w:rsidP="00985453">
                  <w:pPr>
                    <w:ind w:right="-540"/>
                    <w:rPr>
                      <w:rFonts w:eastAsia="Times New Roman"/>
                      <w:sz w:val="20"/>
                      <w:szCs w:val="20"/>
                      <w:lang w:val="sr-Cyrl-RS"/>
                    </w:rPr>
                  </w:pPr>
                </w:p>
              </w:tc>
            </w:tr>
          </w:tbl>
          <w:p w14:paraId="14413412" w14:textId="77777777" w:rsidR="00E47D59" w:rsidRDefault="00E47D59" w:rsidP="00985453"/>
        </w:tc>
        <w:tc>
          <w:tcPr>
            <w:tcW w:w="1560" w:type="dxa"/>
            <w:vAlign w:val="center"/>
          </w:tcPr>
          <w:p w14:paraId="24774239" w14:textId="77777777" w:rsidR="00E47D59" w:rsidRPr="001D17D3" w:rsidRDefault="00E47D59" w:rsidP="00985453">
            <w:pPr>
              <w:jc w:val="center"/>
              <w:rPr>
                <w:lang w:val="sr-Cyrl-RS"/>
              </w:rPr>
            </w:pPr>
          </w:p>
        </w:tc>
        <w:tc>
          <w:tcPr>
            <w:tcW w:w="1560" w:type="dxa"/>
            <w:vAlign w:val="center"/>
          </w:tcPr>
          <w:p w14:paraId="0E345A94" w14:textId="77777777" w:rsidR="00E47D59" w:rsidRPr="001D17D3" w:rsidRDefault="00E47D59" w:rsidP="00985453">
            <w:pPr>
              <w:ind w:left="57"/>
              <w:jc w:val="center"/>
              <w:rPr>
                <w:lang w:val="sr-Cyrl-RS"/>
              </w:rPr>
            </w:pPr>
            <w:r>
              <w:rPr>
                <w:lang w:val="sr-Cyrl-RS"/>
              </w:rPr>
              <w:t>8</w:t>
            </w:r>
          </w:p>
        </w:tc>
        <w:tc>
          <w:tcPr>
            <w:tcW w:w="1560" w:type="dxa"/>
            <w:vAlign w:val="center"/>
          </w:tcPr>
          <w:p w14:paraId="09839964" w14:textId="77777777" w:rsidR="00E47D59" w:rsidRDefault="00E47D59" w:rsidP="00985453">
            <w:pPr>
              <w:ind w:left="57"/>
            </w:pPr>
          </w:p>
        </w:tc>
        <w:tc>
          <w:tcPr>
            <w:tcW w:w="1560" w:type="dxa"/>
            <w:vAlign w:val="center"/>
          </w:tcPr>
          <w:p w14:paraId="18A03898" w14:textId="77777777" w:rsidR="00E47D59" w:rsidRDefault="00E47D59" w:rsidP="00985453">
            <w:pPr>
              <w:ind w:left="57"/>
            </w:pPr>
          </w:p>
        </w:tc>
        <w:tc>
          <w:tcPr>
            <w:tcW w:w="1560" w:type="dxa"/>
            <w:vAlign w:val="center"/>
          </w:tcPr>
          <w:p w14:paraId="55A7D996" w14:textId="77777777" w:rsidR="00E47D59" w:rsidRDefault="00E47D59" w:rsidP="00985453">
            <w:pPr>
              <w:ind w:left="57"/>
            </w:pPr>
          </w:p>
        </w:tc>
        <w:tc>
          <w:tcPr>
            <w:tcW w:w="1560" w:type="dxa"/>
            <w:vAlign w:val="center"/>
          </w:tcPr>
          <w:p w14:paraId="23533C71" w14:textId="77777777" w:rsidR="00E47D59" w:rsidRDefault="00E47D59" w:rsidP="00985453">
            <w:pPr>
              <w:ind w:left="57"/>
            </w:pPr>
          </w:p>
          <w:p w14:paraId="4B427293" w14:textId="77777777" w:rsidR="00E47D59" w:rsidRDefault="00E47D59" w:rsidP="00985453">
            <w:pPr>
              <w:ind w:left="57"/>
            </w:pPr>
          </w:p>
        </w:tc>
      </w:tr>
    </w:tbl>
    <w:p w14:paraId="552A55F7" w14:textId="77777777" w:rsidR="00E47D59" w:rsidRPr="0092653B" w:rsidRDefault="00E47D59" w:rsidP="00E47D59"/>
    <w:p w14:paraId="5430C72F" w14:textId="77777777" w:rsidR="00E47D59" w:rsidRPr="00F3770C" w:rsidRDefault="00E47D59" w:rsidP="00E47D59">
      <w:pPr>
        <w:rPr>
          <w:sz w:val="20"/>
          <w:szCs w:val="20"/>
        </w:rPr>
      </w:pPr>
      <w:r w:rsidRPr="00F3770C">
        <w:rPr>
          <w:sz w:val="20"/>
          <w:szCs w:val="20"/>
        </w:rPr>
        <w:t xml:space="preserve">Упутство за попуњавање обрасца структуре цене: </w:t>
      </w:r>
    </w:p>
    <w:p w14:paraId="6E5649D6" w14:textId="77777777" w:rsidR="00E47D59" w:rsidRPr="00F3770C" w:rsidRDefault="00E47D59" w:rsidP="00E47D59">
      <w:pPr>
        <w:numPr>
          <w:ilvl w:val="0"/>
          <w:numId w:val="3"/>
        </w:numPr>
        <w:spacing w:after="0" w:line="240" w:lineRule="auto"/>
        <w:outlineLvl w:val="0"/>
        <w:rPr>
          <w:rFonts w:eastAsia="Times New Roman"/>
          <w:sz w:val="20"/>
          <w:szCs w:val="20"/>
        </w:rPr>
      </w:pPr>
      <w:r>
        <w:rPr>
          <w:rFonts w:eastAsia="Times New Roman"/>
          <w:sz w:val="20"/>
          <w:szCs w:val="20"/>
        </w:rPr>
        <w:t xml:space="preserve">у колони </w:t>
      </w:r>
      <w:r>
        <w:rPr>
          <w:rFonts w:eastAsia="Times New Roman"/>
          <w:sz w:val="20"/>
          <w:szCs w:val="20"/>
          <w:lang w:val="sr-Cyrl-RS"/>
        </w:rPr>
        <w:t>4</w:t>
      </w:r>
      <w:r w:rsidRPr="00F3770C">
        <w:rPr>
          <w:rFonts w:eastAsia="Times New Roman"/>
          <w:sz w:val="20"/>
          <w:szCs w:val="20"/>
        </w:rPr>
        <w:t>. уписати колико износи цена месечне карте по ученику без ПДВ-а, за тражени предмет јавне набавке</w:t>
      </w:r>
      <w:r>
        <w:rPr>
          <w:rFonts w:eastAsia="Times New Roman"/>
          <w:sz w:val="20"/>
          <w:szCs w:val="20"/>
          <w:lang w:val="sr-Cyrl-RS"/>
        </w:rPr>
        <w:t xml:space="preserve"> ,а у колони 4 за наставнике-износ јединчне цене карте без ПДВ-а</w:t>
      </w:r>
      <w:r w:rsidRPr="00F3770C">
        <w:rPr>
          <w:rFonts w:eastAsia="Times New Roman"/>
          <w:sz w:val="20"/>
          <w:szCs w:val="20"/>
        </w:rPr>
        <w:t xml:space="preserve">; </w:t>
      </w:r>
    </w:p>
    <w:p w14:paraId="7F5B88EE" w14:textId="77777777" w:rsidR="00E47D59" w:rsidRPr="00F3770C" w:rsidRDefault="00E47D59" w:rsidP="00E47D59">
      <w:pPr>
        <w:numPr>
          <w:ilvl w:val="0"/>
          <w:numId w:val="3"/>
        </w:numPr>
        <w:spacing w:after="0" w:line="240" w:lineRule="auto"/>
        <w:outlineLvl w:val="0"/>
        <w:rPr>
          <w:rFonts w:eastAsia="Times New Roman"/>
          <w:sz w:val="20"/>
          <w:szCs w:val="20"/>
        </w:rPr>
      </w:pPr>
      <w:r>
        <w:rPr>
          <w:rFonts w:eastAsia="Times New Roman"/>
          <w:sz w:val="20"/>
          <w:szCs w:val="20"/>
        </w:rPr>
        <w:t xml:space="preserve">у колони </w:t>
      </w:r>
      <w:r>
        <w:rPr>
          <w:rFonts w:eastAsia="Times New Roman"/>
          <w:sz w:val="20"/>
          <w:szCs w:val="20"/>
          <w:lang w:val="sr-Cyrl-RS"/>
        </w:rPr>
        <w:t>5</w:t>
      </w:r>
      <w:r w:rsidRPr="00F3770C">
        <w:rPr>
          <w:rFonts w:eastAsia="Times New Roman"/>
          <w:sz w:val="20"/>
          <w:szCs w:val="20"/>
        </w:rPr>
        <w:t>. уписати колико износи цена месечне карте по ученику са ПДВ-ом, за тражени предмет јавне набавке</w:t>
      </w:r>
      <w:r>
        <w:rPr>
          <w:rFonts w:eastAsia="Times New Roman"/>
          <w:sz w:val="20"/>
          <w:szCs w:val="20"/>
          <w:lang w:val="sr-Cyrl-RS"/>
        </w:rPr>
        <w:t>,а за наставнике у колони 5-износ једничне цене карте са ПДВ-ом</w:t>
      </w:r>
      <w:r w:rsidRPr="00F3770C">
        <w:rPr>
          <w:rFonts w:eastAsia="Times New Roman"/>
          <w:sz w:val="20"/>
          <w:szCs w:val="20"/>
        </w:rPr>
        <w:t>;</w:t>
      </w:r>
    </w:p>
    <w:p w14:paraId="75A10BC4" w14:textId="77777777" w:rsidR="00E47D59" w:rsidRPr="00F3770C" w:rsidRDefault="00E47D59" w:rsidP="00E47D59">
      <w:pPr>
        <w:numPr>
          <w:ilvl w:val="0"/>
          <w:numId w:val="3"/>
        </w:numPr>
        <w:spacing w:after="0" w:line="240" w:lineRule="auto"/>
        <w:outlineLvl w:val="0"/>
        <w:rPr>
          <w:rFonts w:eastAsia="Times New Roman"/>
          <w:sz w:val="20"/>
          <w:szCs w:val="20"/>
        </w:rPr>
      </w:pPr>
      <w:r>
        <w:rPr>
          <w:rFonts w:eastAsia="Times New Roman"/>
          <w:sz w:val="20"/>
          <w:szCs w:val="20"/>
        </w:rPr>
        <w:t xml:space="preserve">у колони </w:t>
      </w:r>
      <w:r>
        <w:rPr>
          <w:rFonts w:eastAsia="Times New Roman"/>
          <w:sz w:val="20"/>
          <w:szCs w:val="20"/>
          <w:lang w:val="sr-Cyrl-RS"/>
        </w:rPr>
        <w:t>6</w:t>
      </w:r>
      <w:r w:rsidRPr="00F3770C">
        <w:rPr>
          <w:rFonts w:eastAsia="Times New Roman"/>
          <w:sz w:val="20"/>
          <w:szCs w:val="20"/>
        </w:rPr>
        <w:t>. уписати укупну цену месечне карте за све ученике без ПДВ-а за тражени предмет јавне наб</w:t>
      </w:r>
      <w:r>
        <w:rPr>
          <w:rFonts w:eastAsia="Times New Roman"/>
          <w:sz w:val="20"/>
          <w:szCs w:val="20"/>
        </w:rPr>
        <w:t>авке и то тако што ће помножити цену</w:t>
      </w:r>
      <w:r w:rsidRPr="00F3770C">
        <w:rPr>
          <w:rFonts w:eastAsia="Times New Roman"/>
          <w:sz w:val="20"/>
          <w:szCs w:val="20"/>
        </w:rPr>
        <w:t xml:space="preserve"> месечне карте</w:t>
      </w:r>
      <w:r>
        <w:rPr>
          <w:rFonts w:eastAsia="Times New Roman"/>
          <w:sz w:val="20"/>
          <w:szCs w:val="20"/>
        </w:rPr>
        <w:t xml:space="preserve">  без ПДВ-а (наведена у колони </w:t>
      </w:r>
      <w:r>
        <w:rPr>
          <w:rFonts w:eastAsia="Times New Roman"/>
          <w:sz w:val="20"/>
          <w:szCs w:val="20"/>
          <w:lang w:val="sr-Cyrl-RS"/>
        </w:rPr>
        <w:t>4</w:t>
      </w:r>
      <w:r w:rsidRPr="00F3770C">
        <w:rPr>
          <w:rFonts w:eastAsia="Times New Roman"/>
          <w:sz w:val="20"/>
          <w:szCs w:val="20"/>
        </w:rPr>
        <w:t>.) са бројем ученика</w:t>
      </w:r>
      <w:r>
        <w:rPr>
          <w:rFonts w:eastAsia="Times New Roman"/>
          <w:sz w:val="20"/>
          <w:szCs w:val="20"/>
        </w:rPr>
        <w:t xml:space="preserve"> (који су наведене у колони </w:t>
      </w:r>
      <w:r>
        <w:rPr>
          <w:rFonts w:eastAsia="Times New Roman"/>
          <w:sz w:val="20"/>
          <w:szCs w:val="20"/>
          <w:lang w:val="sr-Cyrl-RS"/>
        </w:rPr>
        <w:t>3</w:t>
      </w:r>
      <w:r w:rsidRPr="00F3770C">
        <w:rPr>
          <w:rFonts w:eastAsia="Times New Roman"/>
          <w:sz w:val="20"/>
          <w:szCs w:val="20"/>
        </w:rPr>
        <w:t>).</w:t>
      </w:r>
      <w:r w:rsidRPr="00F3770C">
        <w:rPr>
          <w:sz w:val="20"/>
          <w:szCs w:val="20"/>
        </w:rPr>
        <w:t xml:space="preserve"> </w:t>
      </w:r>
      <w:r w:rsidRPr="00F3770C">
        <w:rPr>
          <w:rFonts w:eastAsia="Times New Roman"/>
          <w:sz w:val="20"/>
          <w:szCs w:val="20"/>
        </w:rPr>
        <w:t xml:space="preserve">На крају уписати укупну </w:t>
      </w:r>
      <w:r>
        <w:rPr>
          <w:rFonts w:eastAsia="Times New Roman"/>
          <w:sz w:val="20"/>
          <w:szCs w:val="20"/>
        </w:rPr>
        <w:t>цену предмета набавке без ПДВ-а</w:t>
      </w:r>
      <w:r>
        <w:rPr>
          <w:rFonts w:eastAsia="Times New Roman"/>
          <w:sz w:val="20"/>
          <w:szCs w:val="20"/>
          <w:lang w:val="sr-Cyrl-RS"/>
        </w:rPr>
        <w:t xml:space="preserve">,а за наставнике-у колони 6-укупан износ карте на датој релацији за наведени бр.радних дана без  ПДВ-а; </w:t>
      </w:r>
    </w:p>
    <w:p w14:paraId="3E4D6167" w14:textId="4524048A" w:rsidR="00E47D59" w:rsidRPr="00F3770C" w:rsidRDefault="00E47D59" w:rsidP="00E47D59">
      <w:pPr>
        <w:numPr>
          <w:ilvl w:val="0"/>
          <w:numId w:val="3"/>
        </w:numPr>
        <w:spacing w:after="0" w:line="240" w:lineRule="auto"/>
        <w:outlineLvl w:val="0"/>
        <w:rPr>
          <w:rFonts w:eastAsia="Times New Roman"/>
          <w:sz w:val="20"/>
          <w:szCs w:val="20"/>
        </w:rPr>
      </w:pPr>
      <w:r>
        <w:rPr>
          <w:rFonts w:eastAsia="Times New Roman"/>
          <w:sz w:val="20"/>
          <w:szCs w:val="20"/>
        </w:rPr>
        <w:t xml:space="preserve">у колони </w:t>
      </w:r>
      <w:r>
        <w:rPr>
          <w:rFonts w:eastAsia="Times New Roman"/>
          <w:sz w:val="20"/>
          <w:szCs w:val="20"/>
          <w:lang w:val="sr-Cyrl-RS"/>
        </w:rPr>
        <w:t>7</w:t>
      </w:r>
      <w:r w:rsidRPr="00F3770C">
        <w:rPr>
          <w:rFonts w:eastAsia="Times New Roman"/>
          <w:sz w:val="20"/>
          <w:szCs w:val="20"/>
        </w:rPr>
        <w:t>. уписати колико износи укупна цена месечне карте за све ученике са ПДВ-ом за тражени предмет јавне набавке</w:t>
      </w:r>
      <w:r>
        <w:rPr>
          <w:rFonts w:eastAsia="Times New Roman"/>
          <w:sz w:val="20"/>
          <w:szCs w:val="20"/>
          <w:lang w:val="sr-Cyrl-RS"/>
        </w:rPr>
        <w:t xml:space="preserve"> за школску 2020/2021.год.</w:t>
      </w:r>
      <w:r w:rsidRPr="00F3770C">
        <w:rPr>
          <w:rFonts w:eastAsia="Times New Roman"/>
          <w:sz w:val="20"/>
          <w:szCs w:val="20"/>
        </w:rPr>
        <w:t xml:space="preserve"> и то тако што ће помножити цену месечне карте  са</w:t>
      </w:r>
      <w:r>
        <w:rPr>
          <w:rFonts w:eastAsia="Times New Roman"/>
          <w:sz w:val="20"/>
          <w:szCs w:val="20"/>
        </w:rPr>
        <w:t xml:space="preserve"> ПДВ-ом (наведена у колони </w:t>
      </w:r>
      <w:r>
        <w:rPr>
          <w:rFonts w:eastAsia="Times New Roman"/>
          <w:sz w:val="20"/>
          <w:szCs w:val="20"/>
          <w:lang w:val="sr-Cyrl-RS"/>
        </w:rPr>
        <w:t>5</w:t>
      </w:r>
      <w:r w:rsidRPr="00F3770C">
        <w:rPr>
          <w:rFonts w:eastAsia="Times New Roman"/>
          <w:sz w:val="20"/>
          <w:szCs w:val="20"/>
        </w:rPr>
        <w:t>.) са бројем учен</w:t>
      </w:r>
      <w:r>
        <w:rPr>
          <w:rFonts w:eastAsia="Times New Roman"/>
          <w:sz w:val="20"/>
          <w:szCs w:val="20"/>
        </w:rPr>
        <w:t xml:space="preserve">ика (који су наведене у колони </w:t>
      </w:r>
      <w:r>
        <w:rPr>
          <w:rFonts w:eastAsia="Times New Roman"/>
          <w:sz w:val="20"/>
          <w:szCs w:val="20"/>
          <w:lang w:val="sr-Cyrl-RS"/>
        </w:rPr>
        <w:t>3</w:t>
      </w:r>
      <w:r>
        <w:rPr>
          <w:rFonts w:eastAsia="Times New Roman"/>
          <w:sz w:val="20"/>
          <w:szCs w:val="20"/>
        </w:rPr>
        <w:t>)</w:t>
      </w:r>
      <w:r>
        <w:rPr>
          <w:rFonts w:eastAsia="Times New Roman"/>
          <w:sz w:val="20"/>
          <w:szCs w:val="20"/>
          <w:lang w:val="sr-Cyrl-RS"/>
        </w:rPr>
        <w:t xml:space="preserve"> и </w:t>
      </w:r>
      <w:r>
        <w:rPr>
          <w:rFonts w:eastAsia="Times New Roman"/>
          <w:sz w:val="20"/>
          <w:szCs w:val="20"/>
        </w:rPr>
        <w:t xml:space="preserve"> </w:t>
      </w:r>
      <w:r w:rsidRPr="00F3770C">
        <w:rPr>
          <w:rFonts w:eastAsia="Times New Roman"/>
          <w:sz w:val="20"/>
          <w:szCs w:val="20"/>
        </w:rPr>
        <w:t xml:space="preserve">укупну </w:t>
      </w:r>
      <w:r>
        <w:rPr>
          <w:rFonts w:eastAsia="Times New Roman"/>
          <w:sz w:val="20"/>
          <w:szCs w:val="20"/>
        </w:rPr>
        <w:t>цену предмета набавке са ПДВ-ом</w:t>
      </w:r>
      <w:r>
        <w:rPr>
          <w:rFonts w:eastAsia="Times New Roman"/>
          <w:sz w:val="20"/>
          <w:szCs w:val="20"/>
          <w:lang w:val="sr-Cyrl-RS"/>
        </w:rPr>
        <w:t xml:space="preserve"> а за наставнике –у колони 7 –укупну цену за наведени бро радних дана помножити са бројем наставника на датим релацијама(колона 3);</w:t>
      </w:r>
    </w:p>
    <w:p w14:paraId="399E885B" w14:textId="77777777" w:rsidR="00E47D59" w:rsidRPr="00F3770C" w:rsidRDefault="00E47D59" w:rsidP="00E47D59">
      <w:pPr>
        <w:numPr>
          <w:ilvl w:val="0"/>
          <w:numId w:val="3"/>
        </w:numPr>
        <w:spacing w:after="0" w:line="240" w:lineRule="auto"/>
        <w:outlineLvl w:val="0"/>
        <w:rPr>
          <w:rFonts w:eastAsia="Times New Roman"/>
          <w:sz w:val="20"/>
          <w:szCs w:val="20"/>
        </w:rPr>
      </w:pPr>
      <w:r w:rsidRPr="00F3770C">
        <w:rPr>
          <w:rFonts w:eastAsia="Times New Roman"/>
          <w:sz w:val="20"/>
          <w:szCs w:val="20"/>
        </w:rPr>
        <w:t>Укупна цена са и без пдв-а:укупна цена за један месец помножена са бројем месеци превоза, а у складу са школским кален</w:t>
      </w:r>
      <w:r>
        <w:rPr>
          <w:rFonts w:eastAsia="Times New Roman"/>
          <w:sz w:val="20"/>
          <w:szCs w:val="20"/>
        </w:rPr>
        <w:t>даром и бројем наставних дана</w:t>
      </w:r>
      <w:r>
        <w:rPr>
          <w:rFonts w:eastAsia="Times New Roman"/>
          <w:sz w:val="20"/>
          <w:szCs w:val="20"/>
          <w:lang w:val="sr-Cyrl-RS"/>
        </w:rPr>
        <w:t>,за ученике и наставнике.</w:t>
      </w:r>
    </w:p>
    <w:p w14:paraId="11E1E008" w14:textId="77777777" w:rsidR="00E47D59" w:rsidRPr="00F3770C" w:rsidRDefault="00E47D59" w:rsidP="00E47D59">
      <w:pPr>
        <w:ind w:left="720"/>
        <w:rPr>
          <w:rFonts w:eastAsia="Times New Roman"/>
          <w:sz w:val="20"/>
          <w:szCs w:val="20"/>
        </w:rPr>
      </w:pPr>
    </w:p>
    <w:p w14:paraId="215C45A3" w14:textId="77777777" w:rsidR="00E47D59" w:rsidRPr="00F3770C" w:rsidRDefault="00E47D59" w:rsidP="00E47D59">
      <w:pPr>
        <w:ind w:left="720"/>
        <w:rPr>
          <w:rFonts w:eastAsia="Times New Roman"/>
          <w:sz w:val="20"/>
          <w:szCs w:val="20"/>
        </w:rPr>
      </w:pPr>
    </w:p>
    <w:tbl>
      <w:tblPr>
        <w:tblW w:w="0" w:type="auto"/>
        <w:tblLayout w:type="fixed"/>
        <w:tblLook w:val="04A0" w:firstRow="1" w:lastRow="0" w:firstColumn="1" w:lastColumn="0" w:noHBand="0" w:noVBand="1"/>
      </w:tblPr>
      <w:tblGrid>
        <w:gridCol w:w="3080"/>
        <w:gridCol w:w="3068"/>
        <w:gridCol w:w="3094"/>
      </w:tblGrid>
      <w:tr w:rsidR="00E47D59" w:rsidRPr="00F3770C" w14:paraId="67F5A8E2" w14:textId="77777777" w:rsidTr="00985453">
        <w:tc>
          <w:tcPr>
            <w:tcW w:w="3080" w:type="dxa"/>
            <w:vAlign w:val="center"/>
            <w:hideMark/>
          </w:tcPr>
          <w:p w14:paraId="6BE83090" w14:textId="77777777" w:rsidR="00E47D59" w:rsidRPr="00F3770C" w:rsidRDefault="00E47D59" w:rsidP="00985453">
            <w:pPr>
              <w:suppressAutoHyphens/>
              <w:spacing w:after="120" w:line="100" w:lineRule="atLeast"/>
              <w:jc w:val="center"/>
              <w:rPr>
                <w:rFonts w:eastAsia="Times New Roman"/>
                <w:kern w:val="2"/>
                <w:sz w:val="20"/>
                <w:szCs w:val="20"/>
                <w:lang w:eastAsia="ar-SA"/>
              </w:rPr>
            </w:pPr>
            <w:r w:rsidRPr="00F3770C">
              <w:rPr>
                <w:rFonts w:eastAsia="Times New Roman"/>
                <w:kern w:val="2"/>
                <w:sz w:val="20"/>
                <w:szCs w:val="20"/>
                <w:lang w:val="sl-SI" w:eastAsia="ar-SA"/>
              </w:rPr>
              <w:lastRenderedPageBreak/>
              <w:t>Датум:</w:t>
            </w:r>
          </w:p>
        </w:tc>
        <w:tc>
          <w:tcPr>
            <w:tcW w:w="3068" w:type="dxa"/>
            <w:vAlign w:val="center"/>
            <w:hideMark/>
          </w:tcPr>
          <w:p w14:paraId="459C06EA" w14:textId="77777777" w:rsidR="00E47D59" w:rsidRPr="00F3770C" w:rsidRDefault="00E47D59" w:rsidP="00985453">
            <w:pPr>
              <w:rPr>
                <w:kern w:val="2"/>
                <w:sz w:val="20"/>
                <w:szCs w:val="20"/>
                <w:lang w:val="sl-SI" w:eastAsia="ar-SA"/>
              </w:rPr>
            </w:pPr>
            <w:r w:rsidRPr="00F3770C">
              <w:rPr>
                <w:kern w:val="2"/>
                <w:sz w:val="20"/>
                <w:szCs w:val="20"/>
                <w:lang w:val="sl-SI" w:eastAsia="ar-SA"/>
              </w:rPr>
              <w:t>М.П.</w:t>
            </w:r>
          </w:p>
        </w:tc>
        <w:tc>
          <w:tcPr>
            <w:tcW w:w="3094" w:type="dxa"/>
            <w:vAlign w:val="center"/>
            <w:hideMark/>
          </w:tcPr>
          <w:p w14:paraId="0DC20991" w14:textId="77777777" w:rsidR="00E47D59" w:rsidRPr="00F3770C" w:rsidRDefault="00E47D59" w:rsidP="00985453">
            <w:pPr>
              <w:rPr>
                <w:kern w:val="2"/>
                <w:sz w:val="20"/>
                <w:szCs w:val="20"/>
                <w:lang w:eastAsia="ar-SA"/>
              </w:rPr>
            </w:pPr>
            <w:r w:rsidRPr="00F3770C">
              <w:rPr>
                <w:rFonts w:eastAsia="Times New Roman"/>
                <w:kern w:val="2"/>
                <w:sz w:val="20"/>
                <w:szCs w:val="20"/>
                <w:lang w:val="sl-SI" w:eastAsia="ar-SA"/>
              </w:rPr>
              <w:t>Потпис понуђача</w:t>
            </w:r>
          </w:p>
        </w:tc>
      </w:tr>
      <w:tr w:rsidR="00E47D59" w:rsidRPr="00F3770C" w14:paraId="6F4D00FC" w14:textId="77777777" w:rsidTr="00985453">
        <w:tc>
          <w:tcPr>
            <w:tcW w:w="3080" w:type="dxa"/>
            <w:tcBorders>
              <w:top w:val="nil"/>
              <w:left w:val="nil"/>
              <w:bottom w:val="nil"/>
              <w:right w:val="nil"/>
            </w:tcBorders>
          </w:tcPr>
          <w:p w14:paraId="565CE28E" w14:textId="77777777" w:rsidR="00E47D59" w:rsidRPr="00F3770C" w:rsidRDefault="00E47D59" w:rsidP="00985453">
            <w:pPr>
              <w:rPr>
                <w:kern w:val="2"/>
                <w:sz w:val="20"/>
                <w:szCs w:val="20"/>
                <w:lang w:val="sl-SI" w:eastAsia="ar-SA"/>
              </w:rPr>
            </w:pPr>
          </w:p>
        </w:tc>
        <w:tc>
          <w:tcPr>
            <w:tcW w:w="3068" w:type="dxa"/>
          </w:tcPr>
          <w:p w14:paraId="446C5679" w14:textId="77777777" w:rsidR="00E47D59" w:rsidRPr="00F3770C" w:rsidRDefault="00E47D59" w:rsidP="00985453">
            <w:pPr>
              <w:rPr>
                <w:kern w:val="2"/>
                <w:sz w:val="20"/>
                <w:szCs w:val="20"/>
                <w:lang w:val="sl-SI" w:eastAsia="ar-SA"/>
              </w:rPr>
            </w:pPr>
          </w:p>
        </w:tc>
        <w:tc>
          <w:tcPr>
            <w:tcW w:w="3094" w:type="dxa"/>
            <w:tcBorders>
              <w:top w:val="nil"/>
              <w:left w:val="nil"/>
              <w:bottom w:val="nil"/>
              <w:right w:val="nil"/>
            </w:tcBorders>
          </w:tcPr>
          <w:p w14:paraId="0B3E4796" w14:textId="77777777" w:rsidR="00E47D59" w:rsidRPr="00F3770C" w:rsidRDefault="00E47D59" w:rsidP="00985453">
            <w:pPr>
              <w:rPr>
                <w:kern w:val="2"/>
                <w:sz w:val="20"/>
                <w:szCs w:val="20"/>
                <w:lang w:val="sl-SI" w:eastAsia="ar-SA"/>
              </w:rPr>
            </w:pPr>
          </w:p>
        </w:tc>
      </w:tr>
      <w:tr w:rsidR="00E47D59" w:rsidRPr="00F3770C" w14:paraId="535543AE" w14:textId="77777777" w:rsidTr="00985453">
        <w:tc>
          <w:tcPr>
            <w:tcW w:w="3080" w:type="dxa"/>
            <w:tcBorders>
              <w:top w:val="nil"/>
              <w:left w:val="nil"/>
              <w:bottom w:val="single" w:sz="4" w:space="0" w:color="000000"/>
              <w:right w:val="nil"/>
            </w:tcBorders>
          </w:tcPr>
          <w:p w14:paraId="782BA5ED" w14:textId="77777777" w:rsidR="00E47D59" w:rsidRPr="00F3770C" w:rsidRDefault="00E47D59" w:rsidP="00985453">
            <w:pPr>
              <w:rPr>
                <w:kern w:val="2"/>
                <w:sz w:val="20"/>
                <w:szCs w:val="20"/>
                <w:lang w:eastAsia="ar-SA"/>
              </w:rPr>
            </w:pPr>
          </w:p>
          <w:p w14:paraId="3D8961F8" w14:textId="77777777" w:rsidR="00E47D59" w:rsidRPr="00F3770C" w:rsidRDefault="00E47D59" w:rsidP="00985453">
            <w:pPr>
              <w:rPr>
                <w:kern w:val="2"/>
                <w:sz w:val="20"/>
                <w:szCs w:val="20"/>
                <w:lang w:val="sl-SI" w:eastAsia="ar-SA"/>
              </w:rPr>
            </w:pPr>
          </w:p>
        </w:tc>
        <w:tc>
          <w:tcPr>
            <w:tcW w:w="3068" w:type="dxa"/>
          </w:tcPr>
          <w:p w14:paraId="5A803E16" w14:textId="77777777" w:rsidR="00E47D59" w:rsidRPr="00F3770C" w:rsidRDefault="00E47D59" w:rsidP="00985453">
            <w:pPr>
              <w:rPr>
                <w:kern w:val="2"/>
                <w:sz w:val="20"/>
                <w:szCs w:val="20"/>
                <w:lang w:val="sl-SI" w:eastAsia="ar-SA"/>
              </w:rPr>
            </w:pPr>
          </w:p>
        </w:tc>
        <w:tc>
          <w:tcPr>
            <w:tcW w:w="3094" w:type="dxa"/>
            <w:tcBorders>
              <w:top w:val="nil"/>
              <w:left w:val="nil"/>
              <w:bottom w:val="single" w:sz="4" w:space="0" w:color="000000"/>
              <w:right w:val="nil"/>
            </w:tcBorders>
          </w:tcPr>
          <w:p w14:paraId="04DAA76A" w14:textId="77777777" w:rsidR="00E47D59" w:rsidRPr="00F3770C" w:rsidRDefault="00E47D59" w:rsidP="00985453">
            <w:pPr>
              <w:rPr>
                <w:kern w:val="2"/>
                <w:sz w:val="20"/>
                <w:szCs w:val="20"/>
                <w:lang w:val="sl-SI" w:eastAsia="ar-SA"/>
              </w:rPr>
            </w:pPr>
          </w:p>
        </w:tc>
      </w:tr>
    </w:tbl>
    <w:p w14:paraId="7E504496" w14:textId="1461A20F" w:rsidR="007310B5" w:rsidRPr="0074324E" w:rsidRDefault="00F96DB8" w:rsidP="0074324E">
      <w:pPr>
        <w:rPr>
          <w:lang w:val="sr-Cyrl-RS"/>
        </w:rPr>
      </w:pPr>
      <w:r>
        <w:t xml:space="preserve">III </w:t>
      </w:r>
      <w:r w:rsidR="007310B5" w:rsidRPr="0074324E">
        <w:rPr>
          <w:lang w:val="sr-Cyrl-RS"/>
        </w:rPr>
        <w:t>ЗАХТЕВ:</w:t>
      </w:r>
    </w:p>
    <w:p w14:paraId="268336A0" w14:textId="7A90E7D3" w:rsidR="00F96DB8" w:rsidRDefault="00F96DB8" w:rsidP="007310B5"/>
    <w:p w14:paraId="38A2FE64" w14:textId="6B05FFE5" w:rsidR="007310B5" w:rsidRDefault="00C65950" w:rsidP="00F96DB8">
      <w:r>
        <w:rPr>
          <w:lang w:val="sr-Cyrl-RS"/>
        </w:rPr>
        <w:t>ПИТАЊЕ:</w:t>
      </w:r>
      <w:r w:rsidR="00F96DB8">
        <w:t>Из ког разлога се тражи да понуђач има запосленог на пословима одржавања аутобуса? Нарочито с обзиром да предмет набавке није поправка и одржавање возила.</w:t>
      </w:r>
    </w:p>
    <w:p w14:paraId="12D36F7F" w14:textId="708EFD94" w:rsidR="00F96DB8" w:rsidRDefault="00F96DB8" w:rsidP="00F96DB8">
      <w:r>
        <w:t xml:space="preserve"> Поправке и одржавања возног парка, а у циљу бољег старања о возном парку, понуђач може изабрати и да то не обавља сам већ да то повери стручном сервису.</w:t>
      </w:r>
    </w:p>
    <w:p w14:paraId="546906AB" w14:textId="77777777" w:rsidR="00F96DB8" w:rsidRDefault="00F96DB8" w:rsidP="00F96DB8">
      <w:pPr>
        <w:rPr>
          <w:lang w:val="sr-Cyrl-RS"/>
        </w:rPr>
      </w:pPr>
      <w:r>
        <w:rPr>
          <w:lang w:val="sr-Cyrl-RS"/>
        </w:rPr>
        <w:t>ОДГОВОР:</w:t>
      </w:r>
    </w:p>
    <w:p w14:paraId="5C31BC6A" w14:textId="4DB815F9" w:rsidR="00F96DB8" w:rsidRDefault="00F96DB8" w:rsidP="00F96DB8">
      <w:pPr>
        <w:rPr>
          <w:lang w:val="sr-Cyrl-RS"/>
        </w:rPr>
      </w:pPr>
      <w:r>
        <w:rPr>
          <w:lang w:val="sr-Cyrl-RS"/>
        </w:rPr>
        <w:t xml:space="preserve">Комисија након разматрања постављеног питања доноси одлуку да се изврши измена конкурсне документације </w:t>
      </w:r>
      <w:r w:rsidR="007310B5">
        <w:rPr>
          <w:lang w:val="sr-Cyrl-RS"/>
        </w:rPr>
        <w:t xml:space="preserve">и  да у погледу кадровског капацитета као додатни услов захтева </w:t>
      </w:r>
      <w:r w:rsidR="00482ADE">
        <w:rPr>
          <w:lang w:val="sr-Cyrl-RS"/>
        </w:rPr>
        <w:t>само један а то је услов у погледу најмање 5 возача аутобуса;</w:t>
      </w:r>
    </w:p>
    <w:p w14:paraId="7B1616BB" w14:textId="77777777" w:rsidR="00F96DB8" w:rsidRDefault="00F96DB8" w:rsidP="00F96DB8">
      <w:pPr>
        <w:rPr>
          <w:lang w:val="sr-Cyrl-RS"/>
        </w:rPr>
      </w:pPr>
      <w:r>
        <w:rPr>
          <w:lang w:val="sr-Cyrl-RS"/>
        </w:rPr>
        <w:t xml:space="preserve">На страни 10 </w:t>
      </w:r>
    </w:p>
    <w:p w14:paraId="523A6B3F" w14:textId="24570657" w:rsidR="00482ADE" w:rsidRDefault="00F96DB8" w:rsidP="00F96DB8">
      <w:pPr>
        <w:rPr>
          <w:lang w:val="sr-Cyrl-RS"/>
        </w:rPr>
      </w:pPr>
      <w:r>
        <w:rPr>
          <w:lang w:val="sr-Cyrl-RS"/>
        </w:rPr>
        <w:t>-2.ДОДАТНИ УСЛОВИ ЗА УЧЕШЋЕ У ПОСТУПКУ ЈАВНЕ НАБАВКЕ ИЗ ЧЛ:76.ЗАКОНА,</w:t>
      </w:r>
      <w:r w:rsidR="00482ADE">
        <w:rPr>
          <w:lang w:val="sr-Cyrl-RS"/>
        </w:rPr>
        <w:t xml:space="preserve">мењају се </w:t>
      </w:r>
      <w:r w:rsidR="00C65950">
        <w:rPr>
          <w:lang w:val="sr-Cyrl-RS"/>
        </w:rPr>
        <w:t xml:space="preserve">у делу 2.1.1.КАДРОВСКИ КАПАЦИТЕТ </w:t>
      </w:r>
      <w:r w:rsidR="00482ADE">
        <w:rPr>
          <w:lang w:val="sr-Cyrl-RS"/>
        </w:rPr>
        <w:t>и сада гласе:</w:t>
      </w:r>
    </w:p>
    <w:p w14:paraId="5FDAF925" w14:textId="77777777" w:rsidR="00C65950" w:rsidRDefault="00C65950" w:rsidP="00F96DB8">
      <w:pPr>
        <w:rPr>
          <w:lang w:val="sr-Cyrl-RS"/>
        </w:rPr>
      </w:pPr>
    </w:p>
    <w:p w14:paraId="32B5C830" w14:textId="77777777" w:rsidR="00C65950" w:rsidRPr="009D1898" w:rsidRDefault="00C65950" w:rsidP="00C65950">
      <w:pPr>
        <w:numPr>
          <w:ilvl w:val="0"/>
          <w:numId w:val="2"/>
        </w:numPr>
        <w:shd w:val="clear" w:color="auto" w:fill="C6D9F1"/>
        <w:tabs>
          <w:tab w:val="clear" w:pos="720"/>
          <w:tab w:val="num" w:pos="0"/>
          <w:tab w:val="num" w:pos="360"/>
        </w:tabs>
        <w:suppressAutoHyphens/>
        <w:spacing w:after="0" w:line="100" w:lineRule="atLeast"/>
        <w:ind w:left="360"/>
        <w:contextualSpacing/>
        <w:jc w:val="both"/>
        <w:rPr>
          <w:rFonts w:eastAsia="Times New Roman"/>
          <w:b/>
          <w:bCs/>
          <w:i/>
          <w:iCs/>
        </w:rPr>
      </w:pPr>
      <w:r>
        <w:rPr>
          <w:rFonts w:eastAsia="Times New Roman"/>
          <w:b/>
          <w:i/>
          <w:iCs/>
        </w:rPr>
        <w:t>2</w:t>
      </w:r>
      <w:bookmarkStart w:id="1" w:name="_Hlk43896300"/>
      <w:r>
        <w:rPr>
          <w:rFonts w:eastAsia="Times New Roman"/>
          <w:b/>
          <w:i/>
          <w:iCs/>
        </w:rPr>
        <w:t xml:space="preserve">.ДОДАТНИ </w:t>
      </w:r>
      <w:r w:rsidRPr="009D1898">
        <w:rPr>
          <w:rFonts w:eastAsia="Times New Roman"/>
          <w:b/>
          <w:i/>
          <w:iCs/>
        </w:rPr>
        <w:t>УСЛОВИ ЗА УЧЕШЋЕ У ПОСТ</w:t>
      </w:r>
      <w:r>
        <w:rPr>
          <w:rFonts w:eastAsia="Times New Roman"/>
          <w:b/>
          <w:i/>
          <w:iCs/>
        </w:rPr>
        <w:t xml:space="preserve">УПКУ ЈАВНЕ НАБАВКЕ ИЗ ЧЛ. </w:t>
      </w:r>
      <w:r w:rsidRPr="009D1898">
        <w:rPr>
          <w:rFonts w:eastAsia="Times New Roman"/>
          <w:b/>
          <w:i/>
          <w:iCs/>
        </w:rPr>
        <w:t>76. ЗАКОНА</w:t>
      </w:r>
    </w:p>
    <w:p w14:paraId="02CDAD83" w14:textId="77777777" w:rsidR="00C65950" w:rsidRPr="0086568C" w:rsidRDefault="00C65950" w:rsidP="00C65950">
      <w:pPr>
        <w:rPr>
          <w:lang w:val="en-US"/>
        </w:rPr>
      </w:pPr>
    </w:p>
    <w:p w14:paraId="2786266D" w14:textId="77777777" w:rsidR="00C65950" w:rsidRDefault="00C65950" w:rsidP="00C65950">
      <w:pPr>
        <w:jc w:val="both"/>
        <w:rPr>
          <w:lang w:val="en-US"/>
        </w:rPr>
      </w:pPr>
      <w:r w:rsidRPr="0092653B">
        <w:t xml:space="preserve">Понуђач који учествује у поступку предметне јавне набавке, мора испунити </w:t>
      </w:r>
      <w:r w:rsidRPr="0092653B">
        <w:rPr>
          <w:b/>
        </w:rPr>
        <w:t>додатне услове</w:t>
      </w:r>
      <w:r w:rsidRPr="0092653B">
        <w:t xml:space="preserve"> за учешће у поступку јавне набавке, дефинисане чл. 76. Закона, и то: </w:t>
      </w:r>
    </w:p>
    <w:p w14:paraId="607CE10A" w14:textId="77777777" w:rsidR="00C65950" w:rsidRPr="0086568C" w:rsidRDefault="00C65950" w:rsidP="00C65950">
      <w:pPr>
        <w:rPr>
          <w:lang w:val="en-US"/>
        </w:rPr>
      </w:pPr>
    </w:p>
    <w:p w14:paraId="31D22B61" w14:textId="77777777" w:rsidR="00C65950" w:rsidRPr="0086568C" w:rsidRDefault="00C65950" w:rsidP="00C65950">
      <w:pPr>
        <w:rPr>
          <w:b/>
          <w:lang w:val="en-US"/>
        </w:rPr>
      </w:pPr>
      <w:r w:rsidRPr="0086568C">
        <w:rPr>
          <w:b/>
        </w:rPr>
        <w:t>2.1.1.КАДРОВСКИ КАПАЦИТЕТ</w:t>
      </w:r>
    </w:p>
    <w:p w14:paraId="66D6ED8B" w14:textId="77777777" w:rsidR="00C65950" w:rsidRPr="00BF3A32" w:rsidRDefault="00C65950" w:rsidP="00C65950">
      <w:pPr>
        <w:pStyle w:val="NoSpacing"/>
        <w:rPr>
          <w:lang w:val="sr-Cyrl-CS"/>
        </w:rPr>
      </w:pPr>
      <w:r w:rsidRPr="0092653B">
        <w:rPr>
          <w:lang w:val="sr-Cyrl-CS"/>
        </w:rPr>
        <w:t>-</w:t>
      </w:r>
      <w:r w:rsidRPr="0092653B">
        <w:t>Да</w:t>
      </w:r>
      <w:r w:rsidRPr="0092653B">
        <w:rPr>
          <w:lang w:val="sr-Cyrl-CS"/>
        </w:rPr>
        <w:t xml:space="preserve"> понуђач</w:t>
      </w:r>
      <w:r w:rsidRPr="0092653B">
        <w:t xml:space="preserve"> располаже довољним  кадровским капацитетом</w:t>
      </w:r>
      <w:r w:rsidRPr="0092653B">
        <w:rPr>
          <w:lang w:val="sr-Cyrl-CS"/>
        </w:rPr>
        <w:t>:</w:t>
      </w:r>
    </w:p>
    <w:p w14:paraId="3ABC9C89" w14:textId="2F31CE67" w:rsidR="00C65950" w:rsidRDefault="00C65950" w:rsidP="00C65950">
      <w:pPr>
        <w:pStyle w:val="NoSpacing"/>
        <w:rPr>
          <w:lang w:val="sr-Cyrl-CS"/>
        </w:rPr>
      </w:pPr>
      <w:r w:rsidRPr="0092653B">
        <w:rPr>
          <w:lang w:val="sr-Cyrl-CS"/>
        </w:rPr>
        <w:t xml:space="preserve">            </w:t>
      </w:r>
      <w:r>
        <w:t xml:space="preserve">–  најмање </w:t>
      </w:r>
      <w:r>
        <w:rPr>
          <w:lang w:val="sr-Cyrl-RS"/>
        </w:rPr>
        <w:t>5</w:t>
      </w:r>
      <w:r w:rsidRPr="0092653B">
        <w:rPr>
          <w:lang w:val="sr-Cyrl-CS"/>
        </w:rPr>
        <w:t xml:space="preserve"> возача аутобуса (запослена на неодређено/одређено време) </w:t>
      </w:r>
      <w:r>
        <w:rPr>
          <w:lang w:val="sr-Cyrl-CS"/>
        </w:rPr>
        <w:t>;</w:t>
      </w:r>
    </w:p>
    <w:p w14:paraId="70CE0E6E" w14:textId="77777777" w:rsidR="00C65950" w:rsidRPr="00BF3A32" w:rsidRDefault="00C65950" w:rsidP="00C65950">
      <w:pPr>
        <w:pStyle w:val="NoSpacing"/>
        <w:rPr>
          <w:lang w:val="sr-Cyrl-CS"/>
        </w:rPr>
      </w:pPr>
    </w:p>
    <w:p w14:paraId="543524A0" w14:textId="77777777" w:rsidR="00C65950" w:rsidRDefault="00C65950" w:rsidP="00C65950">
      <w:pPr>
        <w:pStyle w:val="NoSpacing"/>
        <w:rPr>
          <w:lang w:val="sr-Cyrl-CS"/>
        </w:rPr>
      </w:pPr>
    </w:p>
    <w:p w14:paraId="78B6DA01" w14:textId="0827DE1F" w:rsidR="00C65950" w:rsidRDefault="00C65950" w:rsidP="00C65950">
      <w:pPr>
        <w:pStyle w:val="NoSpacing"/>
        <w:rPr>
          <w:lang w:val="sr-Cyrl-CS"/>
        </w:rPr>
      </w:pPr>
      <w:r>
        <w:rPr>
          <w:lang w:val="sr-Cyrl-CS"/>
        </w:rPr>
        <w:t>На страни 13,у одељку-ДОДАТНИ УСЛОВИ И НАЧИН ДОКАЗИВАЊА ДОДАТНИХ УСЛОВА ЗА УЧЕШЋЕ У ПОСТУПКУ ЈАВНЕ НАБАВКЕ-и то 1.УСЛОВ сада гласи:</w:t>
      </w:r>
    </w:p>
    <w:p w14:paraId="6F43CA8C" w14:textId="08274454" w:rsidR="00C65950" w:rsidRDefault="00C65950" w:rsidP="00C65950">
      <w:pPr>
        <w:pStyle w:val="NoSpacing"/>
        <w:rPr>
          <w:lang w:val="sr-Cyrl-CS"/>
        </w:rPr>
      </w:pPr>
    </w:p>
    <w:p w14:paraId="657507A8" w14:textId="77777777" w:rsidR="00C65950" w:rsidRPr="00BF3A32" w:rsidRDefault="00C65950" w:rsidP="00C65950">
      <w:pPr>
        <w:pStyle w:val="NoSpacing"/>
        <w:rPr>
          <w:lang w:val="sr-Cyrl-CS"/>
        </w:rPr>
      </w:pPr>
    </w:p>
    <w:bookmarkEnd w:id="1"/>
    <w:p w14:paraId="3C7A9095" w14:textId="77777777" w:rsidR="00D164F9" w:rsidRPr="00023A68" w:rsidRDefault="00D164F9" w:rsidP="00D164F9">
      <w:pPr>
        <w:jc w:val="both"/>
        <w:rPr>
          <w:b/>
        </w:rPr>
      </w:pPr>
      <w:r w:rsidRPr="00023A68">
        <w:rPr>
          <w:b/>
        </w:rPr>
        <w:t>ДОДАТНИ УСЛОВИ И НАЧИН ДОКАЗИВАЊА ДОДАТНИХ УСЛОВА ЗА УЧЕШЋЕ У ПОСТУПКУ ЈАВНЕ НАБАВКЕ</w:t>
      </w:r>
    </w:p>
    <w:p w14:paraId="45098922" w14:textId="77777777" w:rsidR="00D164F9" w:rsidRPr="00023A68" w:rsidRDefault="00D164F9" w:rsidP="00D164F9">
      <w:pPr>
        <w:jc w:val="both"/>
        <w:rPr>
          <w:b/>
        </w:rPr>
      </w:pPr>
    </w:p>
    <w:tbl>
      <w:tblPr>
        <w:tblStyle w:val="TableGrid"/>
        <w:tblW w:w="0" w:type="auto"/>
        <w:tblLook w:val="04A0" w:firstRow="1" w:lastRow="0" w:firstColumn="1" w:lastColumn="0" w:noHBand="0" w:noVBand="1"/>
      </w:tblPr>
      <w:tblGrid>
        <w:gridCol w:w="4467"/>
        <w:gridCol w:w="4549"/>
      </w:tblGrid>
      <w:tr w:rsidR="00D164F9" w:rsidRPr="0092653B" w14:paraId="5DAEED63" w14:textId="77777777" w:rsidTr="00B54333">
        <w:trPr>
          <w:trHeight w:val="1536"/>
        </w:trPr>
        <w:tc>
          <w:tcPr>
            <w:tcW w:w="4675" w:type="dxa"/>
          </w:tcPr>
          <w:p w14:paraId="19DEB180" w14:textId="77777777" w:rsidR="00D164F9" w:rsidRPr="0092653B" w:rsidRDefault="00D164F9" w:rsidP="00B54333">
            <w:r w:rsidRPr="0092653B">
              <w:lastRenderedPageBreak/>
              <w:t xml:space="preserve">                        </w:t>
            </w:r>
            <w:r w:rsidRPr="0092653B">
              <w:rPr>
                <w:b/>
                <w:u w:val="single"/>
              </w:rPr>
              <w:t>1. УСЛОВ</w:t>
            </w:r>
            <w:r w:rsidRPr="0092653B">
              <w:t xml:space="preserve"> </w:t>
            </w:r>
          </w:p>
          <w:p w14:paraId="0F4C2E4E" w14:textId="77777777" w:rsidR="00D164F9" w:rsidRPr="0092653B" w:rsidRDefault="00D164F9" w:rsidP="00B54333"/>
          <w:p w14:paraId="78991FA7" w14:textId="77777777" w:rsidR="00D164F9" w:rsidRPr="0092653B" w:rsidRDefault="00D164F9" w:rsidP="00B54333"/>
        </w:tc>
        <w:tc>
          <w:tcPr>
            <w:tcW w:w="4675" w:type="dxa"/>
          </w:tcPr>
          <w:p w14:paraId="25604826" w14:textId="77777777" w:rsidR="00D164F9" w:rsidRPr="006D3E07" w:rsidRDefault="00D164F9" w:rsidP="00B54333">
            <w:pPr>
              <w:rPr>
                <w:b/>
              </w:rPr>
            </w:pPr>
            <w:r w:rsidRPr="006D3E07">
              <w:rPr>
                <w:b/>
              </w:rPr>
              <w:t>да располаже неопходним кадровским капацитетом:</w:t>
            </w:r>
          </w:p>
          <w:p w14:paraId="5C9BBD02" w14:textId="204E1401" w:rsidR="00D164F9" w:rsidRPr="00D164F9" w:rsidRDefault="00D164F9" w:rsidP="00D164F9">
            <w:pPr>
              <w:rPr>
                <w:lang w:val="sr-Cyrl-RS"/>
              </w:rPr>
            </w:pPr>
            <w:r>
              <w:rPr>
                <w:b/>
              </w:rPr>
              <w:t xml:space="preserve">-најмање </w:t>
            </w:r>
            <w:r>
              <w:rPr>
                <w:b/>
                <w:lang w:val="sr-Cyrl-RS"/>
              </w:rPr>
              <w:t>5</w:t>
            </w:r>
            <w:r w:rsidRPr="006D3E07">
              <w:rPr>
                <w:b/>
              </w:rPr>
              <w:t xml:space="preserve"> возача аутобуса у радном односу или ангажована по другом основу(запослена на неодређено/одређено време)</w:t>
            </w:r>
            <w:r>
              <w:rPr>
                <w:b/>
                <w:lang w:val="sr-Cyrl-RS"/>
              </w:rPr>
              <w:t>;</w:t>
            </w:r>
          </w:p>
        </w:tc>
      </w:tr>
      <w:tr w:rsidR="00D164F9" w:rsidRPr="0092653B" w14:paraId="2B2035EE" w14:textId="77777777" w:rsidTr="00B54333">
        <w:trPr>
          <w:trHeight w:val="3648"/>
        </w:trPr>
        <w:tc>
          <w:tcPr>
            <w:tcW w:w="4675" w:type="dxa"/>
          </w:tcPr>
          <w:p w14:paraId="1AD5CBE1" w14:textId="77777777" w:rsidR="00D164F9" w:rsidRPr="0092653B" w:rsidRDefault="00D164F9" w:rsidP="00B54333"/>
          <w:p w14:paraId="16FB3335" w14:textId="77777777" w:rsidR="00D164F9" w:rsidRPr="006D3E07" w:rsidRDefault="00D164F9" w:rsidP="00B54333">
            <w:r w:rsidRPr="006D3E07">
              <w:t xml:space="preserve">                      Доказ ( образац бр. 12 )</w:t>
            </w:r>
          </w:p>
          <w:p w14:paraId="3DE84222" w14:textId="77777777" w:rsidR="00D164F9" w:rsidRPr="0092653B" w:rsidRDefault="00D164F9" w:rsidP="00B54333"/>
          <w:p w14:paraId="123DEFF1" w14:textId="77777777" w:rsidR="00D164F9" w:rsidRPr="0092653B" w:rsidRDefault="00D164F9" w:rsidP="00B54333"/>
          <w:p w14:paraId="6D2A9F01" w14:textId="77777777" w:rsidR="00D164F9" w:rsidRPr="0092653B" w:rsidRDefault="00D164F9" w:rsidP="00B54333"/>
        </w:tc>
        <w:tc>
          <w:tcPr>
            <w:tcW w:w="4675" w:type="dxa"/>
          </w:tcPr>
          <w:p w14:paraId="1722DAE2" w14:textId="77777777" w:rsidR="00D164F9" w:rsidRPr="0092653B" w:rsidRDefault="00D164F9" w:rsidP="00B54333">
            <w:r w:rsidRPr="0092653B">
              <w:t>понуђач доказује достављањем списка кадрова на посебном обрасцу и</w:t>
            </w:r>
          </w:p>
          <w:p w14:paraId="2F33CAC6" w14:textId="77777777" w:rsidR="00D164F9" w:rsidRPr="0092653B" w:rsidRDefault="00D164F9" w:rsidP="00B54333">
            <w:r w:rsidRPr="0092653B">
              <w:t xml:space="preserve"> • копијом М образаца за запослена лица (возаче аутобуса) и уговора о раду, односно копије уговора по којем је лице ангажовано (уговор о привременим и повременим пословима и сл.),</w:t>
            </w:r>
          </w:p>
          <w:p w14:paraId="70F6CA05" w14:textId="77777777" w:rsidR="00D164F9" w:rsidRPr="0092653B" w:rsidRDefault="00D164F9" w:rsidP="00B54333">
            <w:r w:rsidRPr="0092653B">
              <w:t xml:space="preserve"> • копије важећих возачких дозвола за возаче аутобуса.</w:t>
            </w:r>
          </w:p>
          <w:p w14:paraId="46B11595" w14:textId="77777777" w:rsidR="00D164F9" w:rsidRPr="0092653B" w:rsidRDefault="00D164F9" w:rsidP="00B54333"/>
          <w:p w14:paraId="1295C109" w14:textId="77777777" w:rsidR="00D164F9" w:rsidRPr="0092653B" w:rsidRDefault="00D164F9" w:rsidP="00B54333">
            <w:r w:rsidRPr="0092653B">
              <w:t>Уговор о раду на одређено време мора покривати период важења уговора за предметну набавку.</w:t>
            </w:r>
          </w:p>
          <w:p w14:paraId="161B29D3" w14:textId="77777777" w:rsidR="00D164F9" w:rsidRPr="0092653B" w:rsidRDefault="00D164F9" w:rsidP="00B54333"/>
        </w:tc>
      </w:tr>
    </w:tbl>
    <w:p w14:paraId="378C2757" w14:textId="2A2FD4E3" w:rsidR="00D164F9" w:rsidRDefault="00D164F9" w:rsidP="00F96DB8">
      <w:pPr>
        <w:rPr>
          <w:lang w:val="sr-Cyrl-RS"/>
        </w:rPr>
      </w:pPr>
    </w:p>
    <w:p w14:paraId="0806E3BB" w14:textId="0B5B398E" w:rsidR="00940DBF" w:rsidRDefault="00940DBF" w:rsidP="00F96DB8">
      <w:pPr>
        <w:rPr>
          <w:lang w:val="sr-Cyrl-RS"/>
        </w:rPr>
      </w:pPr>
    </w:p>
    <w:p w14:paraId="45BBAE0A" w14:textId="2A49B0DA" w:rsidR="00940DBF" w:rsidRDefault="00940DBF" w:rsidP="00F96DB8">
      <w:pPr>
        <w:rPr>
          <w:lang w:val="sr-Cyrl-RS"/>
        </w:rPr>
      </w:pPr>
      <w:r>
        <w:rPr>
          <w:lang w:val="sr-Cyrl-RS"/>
        </w:rPr>
        <w:t>Имајући у виду све наведен о Комисија доноси одлуку да се кконкурсна документација у предметном поступку измени и у  у следећем:</w:t>
      </w:r>
    </w:p>
    <w:p w14:paraId="68126D04" w14:textId="77777777" w:rsidR="00940DBF" w:rsidRDefault="00940DBF" w:rsidP="00F96DB8">
      <w:pPr>
        <w:rPr>
          <w:lang w:val="sr-Cyrl-RS"/>
        </w:rPr>
      </w:pPr>
    </w:p>
    <w:p w14:paraId="1E6FAB39" w14:textId="21AD7EF3" w:rsidR="00940DBF" w:rsidRDefault="007D3CE1" w:rsidP="00F96DB8">
      <w:pPr>
        <w:rPr>
          <w:lang w:val="sr-Cyrl-RS"/>
        </w:rPr>
      </w:pPr>
      <w:r>
        <w:rPr>
          <w:lang w:val="sr-Cyrl-RS"/>
        </w:rPr>
        <w:t>У  поглављу</w:t>
      </w:r>
      <w:r>
        <w:rPr>
          <w:lang w:val="sr-Latn-RS"/>
        </w:rPr>
        <w:t xml:space="preserve"> VII.</w:t>
      </w:r>
      <w:r>
        <w:rPr>
          <w:lang w:val="sr-Cyrl-RS"/>
        </w:rPr>
        <w:t>УПУТСТВО ПОНУЂАЧИМА КАКО ДА САЧИНЕ ПОНУДУ,на страни 48,</w:t>
      </w:r>
    </w:p>
    <w:p w14:paraId="17EBF18B" w14:textId="6B196B1A" w:rsidR="007D3CE1" w:rsidRDefault="007D3CE1" w:rsidP="00F96DB8">
      <w:pPr>
        <w:rPr>
          <w:lang w:val="sr-Cyrl-RS"/>
        </w:rPr>
      </w:pPr>
      <w:r>
        <w:rPr>
          <w:lang w:val="sr-Cyrl-RS"/>
        </w:rPr>
        <w:t>3.НАЧИН НА КОЈИ ПОМНУДА МОРА ДА БУДЕ САЧИЊЕНА.мења се у делу који се односи на рок достављања понуде,односно сада гласи:</w:t>
      </w:r>
    </w:p>
    <w:p w14:paraId="492EA63A" w14:textId="18C26AFA" w:rsidR="007D3CE1" w:rsidRPr="007D3CE1" w:rsidRDefault="007D3CE1" w:rsidP="00F96DB8">
      <w:pPr>
        <w:rPr>
          <w:b/>
          <w:bCs/>
          <w:lang w:val="sr-Cyrl-RS"/>
        </w:rPr>
      </w:pPr>
      <w:r w:rsidRPr="007D3CE1">
        <w:rPr>
          <w:b/>
          <w:bCs/>
          <w:lang w:val="sr-Cyrl-RS"/>
        </w:rPr>
        <w:t>Понуда се сматра благовременом уколико је примљена од стране наручиоца до до 0</w:t>
      </w:r>
      <w:r w:rsidR="00136C16">
        <w:rPr>
          <w:b/>
          <w:bCs/>
          <w:lang w:val="sr-Cyrl-RS"/>
        </w:rPr>
        <w:t>2</w:t>
      </w:r>
      <w:r w:rsidRPr="007D3CE1">
        <w:rPr>
          <w:b/>
          <w:bCs/>
          <w:lang w:val="sr-Cyrl-RS"/>
        </w:rPr>
        <w:t>.07.2020.год.до 10 часова.</w:t>
      </w:r>
    </w:p>
    <w:p w14:paraId="33B50CF2" w14:textId="6B37569E" w:rsidR="007D3CE1" w:rsidRPr="007D3CE1" w:rsidRDefault="007D3CE1" w:rsidP="00F96DB8">
      <w:pPr>
        <w:rPr>
          <w:b/>
          <w:bCs/>
          <w:lang w:val="sr-Cyrl-RS"/>
        </w:rPr>
      </w:pPr>
      <w:r w:rsidRPr="007D3CE1">
        <w:rPr>
          <w:b/>
          <w:bCs/>
          <w:lang w:val="sr-Cyrl-RS"/>
        </w:rPr>
        <w:t>Јавно отварање понуда обавиће се дана 0</w:t>
      </w:r>
      <w:r w:rsidR="00136C16">
        <w:rPr>
          <w:b/>
          <w:bCs/>
          <w:lang w:val="sr-Cyrl-RS"/>
        </w:rPr>
        <w:t>2</w:t>
      </w:r>
      <w:r w:rsidRPr="007D3CE1">
        <w:rPr>
          <w:b/>
          <w:bCs/>
          <w:lang w:val="sr-Cyrl-RS"/>
        </w:rPr>
        <w:t>.07.у 10:15 часова.</w:t>
      </w:r>
    </w:p>
    <w:p w14:paraId="2011EA2D" w14:textId="758EAB05" w:rsidR="00F96DB8" w:rsidRDefault="00F96DB8" w:rsidP="00F96DB8">
      <w:r>
        <w:rPr>
          <w:lang w:val="sr-Cyrl-RS"/>
        </w:rPr>
        <w:t>П</w:t>
      </w:r>
      <w:r>
        <w:t>оводом питања потенцијалних понуђача у поступку јавне набавке број 1/20</w:t>
      </w:r>
      <w:r>
        <w:rPr>
          <w:lang w:val="sr-Cyrl-RS"/>
        </w:rPr>
        <w:t>20- превоз ученика и запослених ОШ“Бранко Радичевић“Мелница у школској 2020/2021.години</w:t>
      </w:r>
      <w:r>
        <w:t xml:space="preserve"> , наручилац обавештава потенцијалне понуђаче да је Конкурсна документација за предметну јавну набавку измењена</w:t>
      </w:r>
      <w:r>
        <w:rPr>
          <w:lang w:val="sr-Cyrl-RS"/>
        </w:rPr>
        <w:t xml:space="preserve"> и допуњена</w:t>
      </w:r>
      <w:r>
        <w:t xml:space="preserve"> у делу на који су се односила питања потенцијалних понуђача и да су измене</w:t>
      </w:r>
      <w:r>
        <w:rPr>
          <w:lang w:val="sr-Cyrl-RS"/>
        </w:rPr>
        <w:t xml:space="preserve"> и допуне </w:t>
      </w:r>
      <w:r>
        <w:t xml:space="preserve"> Конкурсне документације објављене на Порталу УЈН и на сајту наручиоца дана 2</w:t>
      </w:r>
      <w:r w:rsidR="00136C16">
        <w:rPr>
          <w:lang w:val="sr-Cyrl-RS"/>
        </w:rPr>
        <w:t>5</w:t>
      </w:r>
      <w:r>
        <w:t>.0</w:t>
      </w:r>
      <w:r>
        <w:rPr>
          <w:lang w:val="sr-Cyrl-RS"/>
        </w:rPr>
        <w:t>6</w:t>
      </w:r>
      <w:r>
        <w:t>.20</w:t>
      </w:r>
      <w:r>
        <w:rPr>
          <w:lang w:val="sr-Cyrl-RS"/>
        </w:rPr>
        <w:t>20</w:t>
      </w:r>
      <w:r>
        <w:t xml:space="preserve">.год. </w:t>
      </w:r>
    </w:p>
    <w:p w14:paraId="7D43D37A" w14:textId="2E14E87B" w:rsidR="00136C16" w:rsidRDefault="00136C16" w:rsidP="00136C16">
      <w:pPr>
        <w:jc w:val="right"/>
      </w:pPr>
    </w:p>
    <w:p w14:paraId="73278595" w14:textId="4E3C893C" w:rsidR="00136C16" w:rsidRDefault="00136C16" w:rsidP="00136C16">
      <w:pPr>
        <w:jc w:val="right"/>
      </w:pPr>
    </w:p>
    <w:p w14:paraId="0369900D" w14:textId="67A610D8" w:rsidR="00136C16" w:rsidRPr="00136C16" w:rsidRDefault="00136C16" w:rsidP="00136C16">
      <w:pPr>
        <w:jc w:val="right"/>
        <w:rPr>
          <w:lang w:val="sr-Cyrl-RS"/>
        </w:rPr>
      </w:pPr>
      <w:r>
        <w:rPr>
          <w:lang w:val="sr-Cyrl-RS"/>
        </w:rPr>
        <w:t>Комисија</w:t>
      </w:r>
    </w:p>
    <w:p w14:paraId="74AB96EE" w14:textId="77777777" w:rsidR="00E47D59" w:rsidRDefault="00E47D59" w:rsidP="00E47D59"/>
    <w:p w14:paraId="75CA266A" w14:textId="77777777" w:rsidR="00E47D59" w:rsidRDefault="00E47D59" w:rsidP="00E47D59"/>
    <w:p w14:paraId="67309762" w14:textId="77777777" w:rsidR="00E47D59" w:rsidRDefault="00E47D59" w:rsidP="00E47D59"/>
    <w:p w14:paraId="4E2C7393" w14:textId="77777777" w:rsidR="00E47D59" w:rsidRDefault="00E47D59" w:rsidP="00E47D59"/>
    <w:p w14:paraId="1A5ABA9A" w14:textId="77777777" w:rsidR="00E47D59" w:rsidRDefault="00E47D59" w:rsidP="00E47D59"/>
    <w:p w14:paraId="25B56483" w14:textId="77777777" w:rsidR="00E47D59" w:rsidRDefault="00E47D59" w:rsidP="00E47D59"/>
    <w:p w14:paraId="3ADDC2C4" w14:textId="77777777" w:rsidR="00E47D59" w:rsidRDefault="00E47D59" w:rsidP="00E47D59"/>
    <w:p w14:paraId="6885B67D" w14:textId="77777777" w:rsidR="00E47D59" w:rsidRDefault="00E47D59" w:rsidP="00E47D59"/>
    <w:p w14:paraId="29D58CC6" w14:textId="77777777" w:rsidR="007F06DC" w:rsidRDefault="007F06DC">
      <w:pPr>
        <w:rPr>
          <w:lang w:val="sr-Cyrl-RS"/>
        </w:rPr>
      </w:pPr>
    </w:p>
    <w:p w14:paraId="18126B5F" w14:textId="15ADD223" w:rsidR="002C01A8" w:rsidRDefault="002C01A8">
      <w:pPr>
        <w:rPr>
          <w:lang w:val="sr-Cyrl-RS"/>
        </w:rPr>
      </w:pPr>
    </w:p>
    <w:sectPr w:rsidR="002C0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EF44EE5"/>
    <w:multiLevelType w:val="hybridMultilevel"/>
    <w:tmpl w:val="F7C25C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B034E01"/>
    <w:multiLevelType w:val="hybridMultilevel"/>
    <w:tmpl w:val="4286801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07E7E3B"/>
    <w:multiLevelType w:val="hybridMultilevel"/>
    <w:tmpl w:val="6C322A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86"/>
    <w:rsid w:val="000D13C2"/>
    <w:rsid w:val="00136C16"/>
    <w:rsid w:val="00257B89"/>
    <w:rsid w:val="00281D29"/>
    <w:rsid w:val="002B6BCE"/>
    <w:rsid w:val="002C01A8"/>
    <w:rsid w:val="002D5F70"/>
    <w:rsid w:val="0033538A"/>
    <w:rsid w:val="00392A90"/>
    <w:rsid w:val="003D77BD"/>
    <w:rsid w:val="0043080D"/>
    <w:rsid w:val="00482ADE"/>
    <w:rsid w:val="004920D0"/>
    <w:rsid w:val="006A0F1B"/>
    <w:rsid w:val="006A150D"/>
    <w:rsid w:val="006A2C27"/>
    <w:rsid w:val="007310B5"/>
    <w:rsid w:val="0074324E"/>
    <w:rsid w:val="007D3CE1"/>
    <w:rsid w:val="007F06DC"/>
    <w:rsid w:val="00897242"/>
    <w:rsid w:val="00940DBF"/>
    <w:rsid w:val="009E3211"/>
    <w:rsid w:val="00A4120E"/>
    <w:rsid w:val="00AA2219"/>
    <w:rsid w:val="00AB72EA"/>
    <w:rsid w:val="00B13086"/>
    <w:rsid w:val="00BF69D1"/>
    <w:rsid w:val="00C65950"/>
    <w:rsid w:val="00D164F9"/>
    <w:rsid w:val="00D4251F"/>
    <w:rsid w:val="00D729E9"/>
    <w:rsid w:val="00D72C62"/>
    <w:rsid w:val="00E47D59"/>
    <w:rsid w:val="00F21776"/>
    <w:rsid w:val="00F34E02"/>
    <w:rsid w:val="00F9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3749"/>
  <w15:chartTrackingRefBased/>
  <w15:docId w15:val="{F087F5A2-A22B-48BD-818B-3999C6C7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A"/>
    <w:pPr>
      <w:ind w:left="720"/>
      <w:contextualSpacing/>
    </w:pPr>
  </w:style>
  <w:style w:type="paragraph" w:styleId="NormalWeb">
    <w:name w:val="Normal (Web)"/>
    <w:basedOn w:val="Normal"/>
    <w:uiPriority w:val="99"/>
    <w:unhideWhenUsed/>
    <w:rsid w:val="004920D0"/>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Spacing">
    <w:name w:val="No Spacing"/>
    <w:uiPriority w:val="1"/>
    <w:qFormat/>
    <w:rsid w:val="00D4251F"/>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425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6074-2488-4811-9171-FF9D258F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21</cp:revision>
  <cp:lastPrinted>2020-06-25T06:20:00Z</cp:lastPrinted>
  <dcterms:created xsi:type="dcterms:W3CDTF">2020-06-24T07:11:00Z</dcterms:created>
  <dcterms:modified xsi:type="dcterms:W3CDTF">2020-06-25T06:38:00Z</dcterms:modified>
</cp:coreProperties>
</file>